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CF6" w:rsidRDefault="00651AD6">
      <w:pPr>
        <w:adjustRightInd w:val="0"/>
        <w:snapToGrid w:val="0"/>
        <w:spacing w:afterLines="50" w:after="156" w:line="500" w:lineRule="exact"/>
        <w:rPr>
          <w:rFonts w:eastAsia="方正小标宋简体"/>
          <w:sz w:val="36"/>
          <w:szCs w:val="30"/>
        </w:rPr>
      </w:pPr>
      <w:r w:rsidRPr="00F30CF6">
        <w:rPr>
          <w:rFonts w:ascii="黑体" w:eastAsia="黑体" w:hAnsi="黑体" w:hint="eastAsia"/>
          <w:b/>
          <w:sz w:val="32"/>
          <w:szCs w:val="30"/>
        </w:rPr>
        <w:t>附件</w:t>
      </w:r>
      <w:r w:rsidR="00F30CF6">
        <w:rPr>
          <w:rFonts w:ascii="黑体" w:eastAsia="黑体" w:hAnsi="黑体" w:hint="eastAsia"/>
          <w:b/>
          <w:sz w:val="32"/>
          <w:szCs w:val="30"/>
        </w:rPr>
        <w:t>1</w:t>
      </w:r>
      <w:r w:rsidRPr="00F30CF6">
        <w:rPr>
          <w:rFonts w:ascii="黑体" w:eastAsia="黑体" w:hAnsi="黑体"/>
          <w:b/>
          <w:sz w:val="40"/>
          <w:szCs w:val="30"/>
        </w:rPr>
        <w:t xml:space="preserve"> </w:t>
      </w:r>
      <w:r>
        <w:rPr>
          <w:rFonts w:eastAsia="方正小标宋简体"/>
          <w:sz w:val="36"/>
          <w:szCs w:val="30"/>
        </w:rPr>
        <w:t xml:space="preserve">           </w:t>
      </w:r>
      <w:r w:rsidR="00F30CF6">
        <w:rPr>
          <w:rFonts w:eastAsia="方正小标宋简体"/>
          <w:sz w:val="36"/>
          <w:szCs w:val="30"/>
        </w:rPr>
        <w:t xml:space="preserve">  </w:t>
      </w:r>
    </w:p>
    <w:p w:rsidR="002A0679" w:rsidRDefault="002A0679">
      <w:pPr>
        <w:adjustRightInd w:val="0"/>
        <w:snapToGrid w:val="0"/>
        <w:spacing w:afterLines="50" w:after="156" w:line="500" w:lineRule="exact"/>
        <w:rPr>
          <w:rFonts w:eastAsia="方正小标宋简体"/>
          <w:sz w:val="36"/>
          <w:szCs w:val="30"/>
        </w:rPr>
      </w:pPr>
    </w:p>
    <w:p w:rsidR="00394BF6" w:rsidRDefault="00651AD6" w:rsidP="00F30CF6">
      <w:pPr>
        <w:adjustRightInd w:val="0"/>
        <w:snapToGrid w:val="0"/>
        <w:spacing w:afterLines="50" w:after="156" w:line="500" w:lineRule="exact"/>
        <w:jc w:val="center"/>
        <w:rPr>
          <w:rFonts w:eastAsia="方正小标宋简体"/>
          <w:sz w:val="36"/>
          <w:szCs w:val="30"/>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r>
        <w:rPr>
          <w:rFonts w:eastAsia="方正小标宋简体"/>
          <w:b/>
          <w:sz w:val="36"/>
          <w:szCs w:val="30"/>
        </w:rPr>
        <w:t>（</w:t>
      </w:r>
      <w:r>
        <w:rPr>
          <w:rFonts w:eastAsia="方正小标宋简体"/>
          <w:b/>
          <w:sz w:val="36"/>
          <w:szCs w:val="30"/>
        </w:rPr>
        <w:t>201</w:t>
      </w:r>
      <w:r>
        <w:rPr>
          <w:rFonts w:eastAsia="方正小标宋简体" w:hint="eastAsia"/>
          <w:b/>
          <w:sz w:val="36"/>
          <w:szCs w:val="30"/>
        </w:rPr>
        <w:t>8</w:t>
      </w:r>
      <w:r>
        <w:rPr>
          <w:rFonts w:eastAsia="方正小标宋简体"/>
          <w:b/>
          <w:sz w:val="36"/>
          <w:szCs w:val="30"/>
        </w:rP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394BF6">
        <w:trPr>
          <w:trHeight w:val="369"/>
          <w:tblHeader/>
          <w:jc w:val="center"/>
        </w:trPr>
        <w:tc>
          <w:tcPr>
            <w:tcW w:w="848"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b/>
                <w:bCs/>
                <w:kern w:val="0"/>
                <w:szCs w:val="21"/>
              </w:rPr>
              <w:t>序号</w:t>
            </w:r>
          </w:p>
        </w:tc>
        <w:tc>
          <w:tcPr>
            <w:tcW w:w="5810"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b/>
                <w:bCs/>
                <w:kern w:val="0"/>
                <w:szCs w:val="21"/>
              </w:rPr>
              <w:t>检查项目</w:t>
            </w:r>
          </w:p>
        </w:tc>
        <w:tc>
          <w:tcPr>
            <w:tcW w:w="3260"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hint="eastAsia"/>
                <w:b/>
                <w:bCs/>
                <w:kern w:val="0"/>
                <w:szCs w:val="21"/>
              </w:rPr>
              <w:t>检查</w:t>
            </w:r>
            <w:r>
              <w:rPr>
                <w:rFonts w:eastAsia="黑体"/>
                <w:b/>
                <w:bCs/>
                <w:kern w:val="0"/>
                <w:szCs w:val="21"/>
              </w:rPr>
              <w:t>要点</w:t>
            </w:r>
          </w:p>
        </w:tc>
        <w:tc>
          <w:tcPr>
            <w:tcW w:w="4536" w:type="dxa"/>
            <w:gridSpan w:val="4"/>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hint="eastAsia"/>
                <w:b/>
                <w:bCs/>
                <w:kern w:val="0"/>
                <w:szCs w:val="21"/>
              </w:rPr>
              <w:t>检查结果</w:t>
            </w:r>
          </w:p>
        </w:tc>
      </w:tr>
      <w:tr w:rsidR="00394BF6">
        <w:trPr>
          <w:trHeight w:val="369"/>
          <w:tblHeader/>
          <w:jc w:val="center"/>
        </w:trPr>
        <w:tc>
          <w:tcPr>
            <w:tcW w:w="848"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符</w:t>
            </w:r>
          </w:p>
          <w:p w:rsidR="00394BF6" w:rsidRDefault="00394BF6">
            <w:pPr>
              <w:spacing w:line="240" w:lineRule="exact"/>
              <w:jc w:val="center"/>
              <w:rPr>
                <w:rFonts w:eastAsia="黑体"/>
                <w:b/>
                <w:bCs/>
                <w:kern w:val="0"/>
                <w:szCs w:val="21"/>
              </w:rPr>
            </w:pPr>
          </w:p>
          <w:p w:rsidR="00394BF6" w:rsidRDefault="00651AD6">
            <w:pPr>
              <w:spacing w:line="240" w:lineRule="exact"/>
              <w:jc w:val="center"/>
              <w:rPr>
                <w:rFonts w:eastAsia="黑体"/>
                <w:b/>
                <w:bCs/>
                <w:kern w:val="0"/>
                <w:szCs w:val="21"/>
              </w:rPr>
            </w:pPr>
            <w:r>
              <w:rPr>
                <w:rFonts w:eastAsia="黑体" w:hint="eastAsia"/>
                <w:b/>
                <w:bCs/>
                <w:kern w:val="0"/>
                <w:szCs w:val="21"/>
              </w:rPr>
              <w:t>合</w:t>
            </w:r>
          </w:p>
        </w:tc>
        <w:tc>
          <w:tcPr>
            <w:tcW w:w="425" w:type="dxa"/>
            <w:tcMar>
              <w:top w:w="28" w:type="dxa"/>
              <w:bottom w:w="28"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不</w:t>
            </w:r>
          </w:p>
          <w:p w:rsidR="00394BF6" w:rsidRDefault="00651AD6">
            <w:pPr>
              <w:spacing w:line="240" w:lineRule="exact"/>
              <w:jc w:val="center"/>
              <w:rPr>
                <w:rFonts w:eastAsia="黑体"/>
                <w:b/>
                <w:bCs/>
                <w:kern w:val="0"/>
                <w:szCs w:val="21"/>
              </w:rPr>
            </w:pPr>
            <w:r>
              <w:rPr>
                <w:rFonts w:eastAsia="黑体" w:hint="eastAsia"/>
                <w:b/>
                <w:bCs/>
                <w:kern w:val="0"/>
                <w:szCs w:val="21"/>
              </w:rPr>
              <w:t>符</w:t>
            </w:r>
          </w:p>
          <w:p w:rsidR="00394BF6" w:rsidRDefault="00651AD6">
            <w:pPr>
              <w:spacing w:line="240" w:lineRule="exact"/>
              <w:jc w:val="center"/>
              <w:rPr>
                <w:rFonts w:eastAsia="黑体"/>
                <w:b/>
                <w:bCs/>
                <w:kern w:val="0"/>
                <w:szCs w:val="21"/>
              </w:rPr>
            </w:pPr>
            <w:r>
              <w:rPr>
                <w:rFonts w:eastAsia="黑体" w:hint="eastAsia"/>
                <w:b/>
                <w:bCs/>
                <w:kern w:val="0"/>
                <w:szCs w:val="21"/>
              </w:rPr>
              <w:t>合</w:t>
            </w:r>
          </w:p>
        </w:tc>
        <w:tc>
          <w:tcPr>
            <w:tcW w:w="426" w:type="dxa"/>
            <w:tcMar>
              <w:top w:w="28" w:type="dxa"/>
              <w:bottom w:w="28"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不</w:t>
            </w:r>
          </w:p>
          <w:p w:rsidR="00394BF6" w:rsidRDefault="00651AD6">
            <w:pPr>
              <w:spacing w:line="240" w:lineRule="exact"/>
              <w:jc w:val="center"/>
              <w:rPr>
                <w:rFonts w:eastAsia="黑体"/>
                <w:b/>
                <w:bCs/>
                <w:kern w:val="0"/>
                <w:szCs w:val="21"/>
              </w:rPr>
            </w:pPr>
            <w:proofErr w:type="gramStart"/>
            <w:r>
              <w:rPr>
                <w:rFonts w:eastAsia="黑体" w:hint="eastAsia"/>
                <w:b/>
                <w:bCs/>
                <w:kern w:val="0"/>
                <w:szCs w:val="21"/>
              </w:rPr>
              <w:t>适</w:t>
            </w:r>
            <w:proofErr w:type="gramEnd"/>
          </w:p>
          <w:p w:rsidR="00394BF6" w:rsidRDefault="00651AD6">
            <w:pPr>
              <w:spacing w:line="240" w:lineRule="exact"/>
              <w:jc w:val="center"/>
              <w:rPr>
                <w:rFonts w:eastAsia="黑体"/>
                <w:b/>
                <w:bCs/>
                <w:kern w:val="0"/>
                <w:szCs w:val="21"/>
              </w:rPr>
            </w:pPr>
            <w:r>
              <w:rPr>
                <w:rFonts w:eastAsia="黑体" w:hint="eastAsia"/>
                <w:b/>
                <w:bCs/>
                <w:kern w:val="0"/>
                <w:szCs w:val="21"/>
              </w:rPr>
              <w:t>用</w:t>
            </w:r>
          </w:p>
        </w:tc>
        <w:tc>
          <w:tcPr>
            <w:tcW w:w="3260" w:type="dxa"/>
            <w:vAlign w:val="center"/>
          </w:tcPr>
          <w:p w:rsidR="00394BF6" w:rsidRDefault="00651AD6">
            <w:pPr>
              <w:spacing w:line="300" w:lineRule="exact"/>
              <w:jc w:val="center"/>
              <w:rPr>
                <w:rFonts w:eastAsia="黑体"/>
                <w:b/>
                <w:bCs/>
                <w:kern w:val="0"/>
                <w:szCs w:val="21"/>
              </w:rPr>
            </w:pPr>
            <w:r>
              <w:rPr>
                <w:rFonts w:eastAsia="黑体" w:hint="eastAsia"/>
                <w:b/>
                <w:bCs/>
                <w:kern w:val="0"/>
                <w:szCs w:val="21"/>
              </w:rPr>
              <w:t>情况记录</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组织体系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学校层面安全责任体系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有校级实验室安全工作领导机构</w:t>
            </w:r>
            <w:r>
              <w:rPr>
                <w:rFonts w:hint="eastAsia"/>
                <w:kern w:val="0"/>
                <w:szCs w:val="21"/>
              </w:rPr>
              <w:t>，</w:t>
            </w:r>
            <w:r>
              <w:rPr>
                <w:kern w:val="0"/>
                <w:szCs w:val="21"/>
              </w:rPr>
              <w:t>由校</w:t>
            </w:r>
            <w:r>
              <w:rPr>
                <w:rFonts w:hint="eastAsia"/>
                <w:kern w:val="0"/>
                <w:szCs w:val="21"/>
              </w:rPr>
              <w:t>领导作为负责人</w:t>
            </w:r>
            <w:r>
              <w:rPr>
                <w:kern w:val="0"/>
                <w:szCs w:val="21"/>
              </w:rPr>
              <w:t>，相关职能部门参与，设办公室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proofErr w:type="gramStart"/>
            <w:r>
              <w:rPr>
                <w:rFonts w:hint="eastAsia"/>
                <w:bCs/>
                <w:kern w:val="0"/>
                <w:szCs w:val="21"/>
              </w:rPr>
              <w:t>有带</w:t>
            </w:r>
            <w:r>
              <w:rPr>
                <w:bCs/>
                <w:kern w:val="0"/>
                <w:szCs w:val="21"/>
              </w:rPr>
              <w:t>文号</w:t>
            </w:r>
            <w:proofErr w:type="gramEnd"/>
            <w:r>
              <w:rPr>
                <w:bCs/>
                <w:kern w:val="0"/>
                <w:szCs w:val="21"/>
              </w:rPr>
              <w:t>的</w:t>
            </w:r>
            <w:r>
              <w:rPr>
                <w:rFonts w:hint="eastAsia"/>
                <w:bCs/>
                <w:kern w:val="0"/>
                <w:szCs w:val="21"/>
              </w:rPr>
              <w:t>机构</w:t>
            </w:r>
            <w:r>
              <w:rPr>
                <w:bCs/>
                <w:kern w:val="0"/>
                <w:szCs w:val="21"/>
              </w:rPr>
              <w:t>设立文件</w:t>
            </w:r>
            <w:r>
              <w:rPr>
                <w:rFonts w:hint="eastAsia"/>
                <w:bCs/>
                <w:kern w:val="0"/>
                <w:szCs w:val="21"/>
              </w:rPr>
              <w:t>，明确包含实验室技术安全管理内容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1.1.2</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有处级</w:t>
            </w:r>
            <w:r>
              <w:rPr>
                <w:rFonts w:hint="eastAsia"/>
                <w:kern w:val="0"/>
                <w:szCs w:val="21"/>
              </w:rPr>
              <w:t>职能</w:t>
            </w:r>
            <w:r>
              <w:rPr>
                <w:kern w:val="0"/>
                <w:szCs w:val="21"/>
              </w:rPr>
              <w:t>部门</w:t>
            </w:r>
            <w:r>
              <w:rPr>
                <w:rFonts w:hint="eastAsia"/>
                <w:kern w:val="0"/>
                <w:szCs w:val="21"/>
              </w:rPr>
              <w:t>主管</w:t>
            </w:r>
            <w:r>
              <w:rPr>
                <w:kern w:val="0"/>
                <w:szCs w:val="21"/>
              </w:rPr>
              <w:t>实验室</w:t>
            </w:r>
            <w:r>
              <w:rPr>
                <w:rFonts w:hint="eastAsia"/>
                <w:kern w:val="0"/>
                <w:szCs w:val="21"/>
              </w:rPr>
              <w:t>技术</w:t>
            </w:r>
            <w:r>
              <w:rPr>
                <w:kern w:val="0"/>
                <w:szCs w:val="21"/>
              </w:rPr>
              <w:t>安全工作</w:t>
            </w:r>
            <w:r>
              <w:rPr>
                <w:rFonts w:hint="eastAsia"/>
                <w:kern w:val="0"/>
                <w:szCs w:val="21"/>
              </w:rPr>
              <w:t>，下</w:t>
            </w:r>
            <w:r>
              <w:rPr>
                <w:kern w:val="0"/>
                <w:szCs w:val="21"/>
              </w:rPr>
              <w:t>设实验室安全管理科室（</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学校），或有专职的实验室安全管理人员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明确的主管部门</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领导签名及盖公</w:t>
            </w:r>
            <w:r>
              <w:rPr>
                <w:kern w:val="0"/>
                <w:szCs w:val="21"/>
              </w:rPr>
              <w:t>章</w:t>
            </w:r>
            <w:r>
              <w:rPr>
                <w:rFonts w:hint="eastAsia"/>
                <w:kern w:val="0"/>
                <w:szCs w:val="21"/>
              </w:rPr>
              <w:t>，</w:t>
            </w:r>
            <w:r>
              <w:rPr>
                <w:kern w:val="0"/>
                <w:szCs w:val="21"/>
              </w:rPr>
              <w:t>至少在任期内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各级</w:t>
            </w:r>
            <w:r>
              <w:rPr>
                <w:kern w:val="0"/>
                <w:szCs w:val="21"/>
              </w:rPr>
              <w:t>主管实验室安全的负责人</w:t>
            </w:r>
            <w:r>
              <w:rPr>
                <w:rFonts w:hint="eastAsia"/>
                <w:kern w:val="0"/>
                <w:szCs w:val="21"/>
              </w:rPr>
              <w:t>到</w:t>
            </w:r>
            <w:r>
              <w:rPr>
                <w:kern w:val="0"/>
                <w:szCs w:val="21"/>
              </w:rPr>
              <w:t>岗一年内</w:t>
            </w:r>
            <w:r>
              <w:rPr>
                <w:rFonts w:hint="eastAsia"/>
                <w:kern w:val="0"/>
                <w:szCs w:val="21"/>
              </w:rPr>
              <w:t>参与了</w:t>
            </w:r>
            <w:r>
              <w:rPr>
                <w:kern w:val="0"/>
                <w:szCs w:val="21"/>
              </w:rPr>
              <w:t>实验室安全培训，</w:t>
            </w:r>
            <w:r>
              <w:rPr>
                <w:rFonts w:hint="eastAsia"/>
                <w:kern w:val="0"/>
                <w:szCs w:val="21"/>
              </w:rPr>
              <w:t>有培训</w:t>
            </w:r>
            <w:r>
              <w:rPr>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院系层面安全责任体系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成立实验室安全领导小组，由党</w:t>
            </w:r>
            <w:r>
              <w:rPr>
                <w:kern w:val="0"/>
                <w:szCs w:val="21"/>
              </w:rPr>
              <w:t>/</w:t>
            </w:r>
            <w:r>
              <w:rPr>
                <w:kern w:val="0"/>
                <w:szCs w:val="21"/>
              </w:rPr>
              <w:t>政</w:t>
            </w:r>
            <w:r>
              <w:rPr>
                <w:rFonts w:hint="eastAsia"/>
                <w:kern w:val="0"/>
                <w:szCs w:val="21"/>
              </w:rPr>
              <w:t>主要领导作为负责人</w:t>
            </w:r>
            <w:r>
              <w:rPr>
                <w:kern w:val="0"/>
                <w:szCs w:val="21"/>
              </w:rPr>
              <w:t>，研究所、</w:t>
            </w:r>
            <w:r>
              <w:rPr>
                <w:kern w:val="0"/>
                <w:szCs w:val="21"/>
                <w:lang w:val="en-GB"/>
              </w:rPr>
              <w:t>中心</w:t>
            </w:r>
            <w:r>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理（除数学）、工、农、</w:t>
            </w:r>
            <w:proofErr w:type="gramStart"/>
            <w:r>
              <w:rPr>
                <w:kern w:val="0"/>
                <w:szCs w:val="21"/>
              </w:rPr>
              <w:t>医</w:t>
            </w:r>
            <w:proofErr w:type="gramEnd"/>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rFonts w:hint="eastAsia"/>
                <w:kern w:val="0"/>
                <w:szCs w:val="21"/>
              </w:rPr>
              <w:t>院系任命</w:t>
            </w:r>
            <w:r>
              <w:rPr>
                <w:kern w:val="0"/>
                <w:szCs w:val="21"/>
              </w:rPr>
              <w:t>文件、</w:t>
            </w:r>
            <w:r>
              <w:rPr>
                <w:bCs/>
                <w:kern w:val="0"/>
                <w:szCs w:val="21"/>
              </w:rPr>
              <w:t>工作记录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w:t>
            </w:r>
            <w:r>
              <w:rPr>
                <w:rFonts w:hint="eastAsia"/>
                <w:kern w:val="0"/>
                <w:szCs w:val="21"/>
              </w:rPr>
              <w:t>院系</w:t>
            </w:r>
            <w:r>
              <w:rPr>
                <w:kern w:val="0"/>
                <w:szCs w:val="21"/>
              </w:rPr>
              <w:t>安全责任体系，所有实验房间都需明确安全责任人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资料或网络管理系统，关注有多校区分布的情况</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研究所、</w:t>
            </w:r>
            <w:r>
              <w:rPr>
                <w:kern w:val="0"/>
                <w:szCs w:val="21"/>
                <w:lang w:val="en-GB"/>
              </w:rPr>
              <w:t>中心</w:t>
            </w:r>
            <w:r>
              <w:rPr>
                <w:kern w:val="0"/>
                <w:szCs w:val="21"/>
              </w:rPr>
              <w:t>、教研室、实验室等机构有安全责任人和管理人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院系发布的文件</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实验室安全管理责任书要层层签订到房间安全责任人，及每一位</w:t>
            </w:r>
            <w:r>
              <w:rPr>
                <w:rFonts w:hint="eastAsia"/>
                <w:kern w:val="0"/>
                <w:szCs w:val="21"/>
              </w:rPr>
              <w:t>使用</w:t>
            </w:r>
            <w:r>
              <w:rPr>
                <w:kern w:val="0"/>
                <w:szCs w:val="21"/>
              </w:rPr>
              <w:t>实验室的</w:t>
            </w:r>
            <w:r>
              <w:rPr>
                <w:rFonts w:hint="eastAsia"/>
                <w:kern w:val="0"/>
                <w:szCs w:val="21"/>
              </w:rPr>
              <w:t>教师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查存档</w:t>
            </w:r>
            <w:r>
              <w:rPr>
                <w:bCs/>
                <w:kern w:val="0"/>
                <w:szCs w:val="21"/>
              </w:rPr>
              <w:t>的责任书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b/>
                <w:bCs/>
                <w:kern w:val="0"/>
                <w:szCs w:val="21"/>
              </w:rPr>
              <w:t>1.3</w:t>
            </w:r>
          </w:p>
        </w:tc>
        <w:tc>
          <w:tcPr>
            <w:tcW w:w="13606" w:type="dxa"/>
            <w:gridSpan w:val="6"/>
            <w:shd w:val="clear" w:color="auto" w:fill="auto"/>
            <w:tcMar>
              <w:left w:w="45" w:type="dxa"/>
              <w:right w:w="45" w:type="dxa"/>
            </w:tcMar>
            <w:vAlign w:val="center"/>
          </w:tcPr>
          <w:p w:rsidR="00394BF6" w:rsidRDefault="00651AD6">
            <w:pPr>
              <w:widowControl/>
              <w:spacing w:line="300" w:lineRule="exact"/>
              <w:rPr>
                <w:b/>
                <w:bCs/>
                <w:kern w:val="0"/>
                <w:szCs w:val="21"/>
              </w:rPr>
            </w:pPr>
            <w:r>
              <w:rPr>
                <w:b/>
                <w:bCs/>
                <w:kern w:val="0"/>
                <w:szCs w:val="21"/>
              </w:rPr>
              <w:t>经费保障</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学校每年有实验室安全常规经费预算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有财务</w:t>
            </w:r>
            <w:r>
              <w:rPr>
                <w:bCs/>
                <w:kern w:val="0"/>
                <w:szCs w:val="21"/>
              </w:rPr>
              <w:t>证据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证据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院系、课题组</w:t>
            </w:r>
            <w:r>
              <w:rPr>
                <w:kern w:val="0"/>
                <w:szCs w:val="21"/>
              </w:rPr>
              <w:t>等</w:t>
            </w:r>
            <w:r>
              <w:rPr>
                <w:rFonts w:hint="eastAsia"/>
                <w:kern w:val="0"/>
                <w:szCs w:val="21"/>
              </w:rPr>
              <w:t>有</w:t>
            </w:r>
            <w:r>
              <w:rPr>
                <w:kern w:val="0"/>
                <w:szCs w:val="21"/>
              </w:rPr>
              <w:t>自筹经费投入实验室安全建设与管理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证据</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建有</w:t>
            </w:r>
            <w:r>
              <w:rPr>
                <w:kern w:val="0"/>
                <w:szCs w:val="21"/>
              </w:rPr>
              <w:t>实验室安全信息化管理系统</w:t>
            </w:r>
            <w:r>
              <w:rPr>
                <w:rFonts w:hint="eastAsia"/>
                <w:kern w:val="0"/>
                <w:szCs w:val="21"/>
              </w:rPr>
              <w:t>并</w:t>
            </w:r>
            <w:r>
              <w:rPr>
                <w:kern w:val="0"/>
                <w:szCs w:val="21"/>
              </w:rPr>
              <w:t>有效</w:t>
            </w:r>
            <w:r>
              <w:rPr>
                <w:rFonts w:hint="eastAsia"/>
                <w:kern w:val="0"/>
                <w:szCs w:val="21"/>
              </w:rPr>
              <w:t>运行</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系统</w:t>
            </w:r>
            <w:r>
              <w:rPr>
                <w:rFonts w:hint="eastAsia"/>
                <w:kern w:val="0"/>
                <w:szCs w:val="21"/>
              </w:rPr>
              <w:t>中</w:t>
            </w:r>
            <w:r>
              <w:rPr>
                <w:kern w:val="0"/>
                <w:szCs w:val="21"/>
              </w:rPr>
              <w:t>实验室房间、人员、</w:t>
            </w:r>
            <w:r>
              <w:rPr>
                <w:rFonts w:hint="eastAsia"/>
                <w:kern w:val="0"/>
                <w:szCs w:val="21"/>
              </w:rPr>
              <w:t>安全风</w:t>
            </w:r>
            <w:r>
              <w:rPr>
                <w:kern w:val="0"/>
                <w:szCs w:val="21"/>
              </w:rPr>
              <w:t>险</w:t>
            </w:r>
            <w:r>
              <w:rPr>
                <w:rFonts w:hint="eastAsia"/>
                <w:kern w:val="0"/>
                <w:szCs w:val="21"/>
              </w:rPr>
              <w:t>点与</w:t>
            </w:r>
            <w:r>
              <w:rPr>
                <w:kern w:val="0"/>
                <w:szCs w:val="21"/>
              </w:rPr>
              <w:t>防控</w:t>
            </w:r>
            <w:r>
              <w:rPr>
                <w:rFonts w:hint="eastAsia"/>
                <w:kern w:val="0"/>
                <w:szCs w:val="21"/>
              </w:rPr>
              <w:t>、</w:t>
            </w:r>
            <w:r>
              <w:rPr>
                <w:kern w:val="0"/>
                <w:szCs w:val="21"/>
              </w:rPr>
              <w:t>安全检查等信息</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管理</w:t>
            </w:r>
            <w:r>
              <w:rPr>
                <w:kern w:val="0"/>
                <w:szCs w:val="21"/>
              </w:rPr>
              <w:t>部门建立了完整的实验室安全工作档案，包括责任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档案</w:t>
            </w:r>
            <w:r>
              <w:rPr>
                <w:kern w:val="0"/>
                <w:szCs w:val="21"/>
              </w:rPr>
              <w:t>分类规范合理，便于查找</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规章制度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校级层面实验室安全管理制度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有实验室技术安全管理办法</w:t>
            </w:r>
          </w:p>
        </w:tc>
        <w:tc>
          <w:tcPr>
            <w:tcW w:w="3260" w:type="dxa"/>
            <w:vMerge w:val="restart"/>
            <w:shd w:val="clear" w:color="auto" w:fill="auto"/>
            <w:tcMar>
              <w:left w:w="45" w:type="dxa"/>
              <w:right w:w="45" w:type="dxa"/>
            </w:tcMar>
            <w:vAlign w:val="center"/>
          </w:tcPr>
          <w:p w:rsidR="00394BF6" w:rsidRDefault="00651AD6">
            <w:pPr>
              <w:spacing w:line="300" w:lineRule="exact"/>
              <w:rPr>
                <w:bCs/>
                <w:kern w:val="0"/>
                <w:szCs w:val="21"/>
              </w:rPr>
            </w:pPr>
            <w:r>
              <w:rPr>
                <w:rFonts w:hint="eastAsia"/>
                <w:bCs/>
                <w:kern w:val="0"/>
                <w:szCs w:val="21"/>
              </w:rPr>
              <w:t>1.</w:t>
            </w:r>
            <w:r>
              <w:rPr>
                <w:rFonts w:hint="eastAsia"/>
                <w:bCs/>
                <w:kern w:val="0"/>
                <w:szCs w:val="21"/>
              </w:rPr>
              <w:t>制度文件有学校正式发文号；</w:t>
            </w:r>
          </w:p>
          <w:p w:rsidR="00394BF6" w:rsidRDefault="00651AD6">
            <w:pPr>
              <w:spacing w:line="300" w:lineRule="exact"/>
              <w:rPr>
                <w:bCs/>
                <w:kern w:val="0"/>
                <w:szCs w:val="21"/>
              </w:rPr>
            </w:pPr>
            <w:r>
              <w:rPr>
                <w:rFonts w:hint="eastAsia"/>
                <w:bCs/>
                <w:kern w:val="0"/>
                <w:szCs w:val="21"/>
              </w:rPr>
              <w:t>2.</w:t>
            </w:r>
            <w:r>
              <w:rPr>
                <w:rFonts w:hint="eastAsia"/>
                <w:bCs/>
                <w:kern w:val="0"/>
                <w:szCs w:val="21"/>
              </w:rPr>
              <w:t>文件是否长期未修订更新、陈旧过时；</w:t>
            </w:r>
          </w:p>
          <w:p w:rsidR="00394BF6" w:rsidRDefault="00651AD6">
            <w:pPr>
              <w:spacing w:line="300" w:lineRule="exact"/>
              <w:rPr>
                <w:bCs/>
                <w:kern w:val="0"/>
                <w:szCs w:val="21"/>
              </w:rPr>
            </w:pPr>
            <w:r>
              <w:rPr>
                <w:bCs/>
                <w:kern w:val="0"/>
                <w:szCs w:val="21"/>
              </w:rPr>
              <w:t>3.</w:t>
            </w:r>
            <w:r>
              <w:rPr>
                <w:rFonts w:hint="eastAsia"/>
                <w:bCs/>
                <w:kern w:val="0"/>
                <w:szCs w:val="21"/>
              </w:rPr>
              <w:t>文件是否过于简单粗糙、流于形式，缺乏可操作性或实际管理效用；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w:t>
            </w:r>
            <w:r>
              <w:rPr>
                <w:rFonts w:hint="eastAsia"/>
                <w:bCs/>
                <w:kern w:val="0"/>
                <w:szCs w:val="21"/>
              </w:rPr>
              <w:t>奖励与</w:t>
            </w:r>
            <w:r>
              <w:rPr>
                <w:bCs/>
                <w:kern w:val="0"/>
                <w:szCs w:val="21"/>
              </w:rPr>
              <w:t>责任追究制度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有实验室安全检查制度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2.1.4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有</w:t>
            </w:r>
            <w:r>
              <w:rPr>
                <w:kern w:val="0"/>
                <w:szCs w:val="21"/>
              </w:rPr>
              <w:t>实验室安全教育与</w:t>
            </w:r>
            <w:r>
              <w:rPr>
                <w:rFonts w:hint="eastAsia"/>
                <w:kern w:val="0"/>
                <w:szCs w:val="21"/>
              </w:rPr>
              <w:t>实验室</w:t>
            </w:r>
            <w:r>
              <w:rPr>
                <w:kern w:val="0"/>
                <w:szCs w:val="21"/>
              </w:rPr>
              <w:t>准入</w:t>
            </w:r>
            <w:r>
              <w:rPr>
                <w:rFonts w:hint="eastAsia"/>
                <w:kern w:val="0"/>
                <w:szCs w:val="21"/>
              </w:rPr>
              <w:t>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实验室分类分级管理制度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2.1.6</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2.1.7</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w:t>
            </w:r>
            <w:r>
              <w:rPr>
                <w:rFonts w:hint="eastAsia"/>
                <w:bCs/>
                <w:kern w:val="0"/>
                <w:szCs w:val="21"/>
              </w:rPr>
              <w:t>实验室</w:t>
            </w:r>
            <w:r>
              <w:rPr>
                <w:bCs/>
                <w:kern w:val="0"/>
                <w:szCs w:val="21"/>
              </w:rPr>
              <w:t>突发事件应急预案（包括化学、生物、辐射、电气、机械等分类）</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2.2</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院系层面的安全管理制度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2.2.1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具有学科特色的实验室安全管理制度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查院系制度是否公开明示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安全检查记录本、每个实验室房间的值日表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包括</w:t>
            </w:r>
            <w:r>
              <w:rPr>
                <w:rFonts w:hint="eastAsia"/>
                <w:bCs/>
                <w:kern w:val="0"/>
                <w:szCs w:val="21"/>
              </w:rPr>
              <w:t>操作</w:t>
            </w:r>
            <w:r>
              <w:rPr>
                <w:bCs/>
                <w:kern w:val="0"/>
                <w:szCs w:val="21"/>
              </w:rPr>
              <w:t>步骤与安全注意事项</w:t>
            </w:r>
            <w:r>
              <w:rPr>
                <w:rFonts w:hint="eastAsia"/>
                <w:bCs/>
                <w:kern w:val="0"/>
                <w:szCs w:val="21"/>
              </w:rPr>
              <w:t>；张贴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查看开题报告、新开设教学实验审批资料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安全教育</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安全教育</w:t>
            </w:r>
            <w:r>
              <w:rPr>
                <w:b/>
                <w:kern w:val="0"/>
                <w:szCs w:val="21"/>
              </w:rPr>
              <w:t>活动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化学、生物等安全重点防范学科应开设必修课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活动，有记录</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查看历年存档记录，包含培训时间、内容、人数、通知、会场照片等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院</w:t>
            </w:r>
            <w:r>
              <w:rPr>
                <w:rFonts w:hint="eastAsia"/>
                <w:kern w:val="0"/>
                <w:szCs w:val="21"/>
              </w:rPr>
              <w:t>系</w:t>
            </w:r>
            <w:r>
              <w:rPr>
                <w:kern w:val="0"/>
                <w:szCs w:val="21"/>
              </w:rPr>
              <w:t>有专业安全培训活动，建立实验室准入制度</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3.1.4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开展结合学科特点的应急演练，有记录</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实验室安全</w:t>
            </w:r>
            <w:r>
              <w:rPr>
                <w:rFonts w:hint="eastAsia"/>
                <w:b/>
                <w:kern w:val="0"/>
                <w:szCs w:val="21"/>
              </w:rPr>
              <w:t>知识考试</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建立了实验室安全</w:t>
            </w:r>
            <w:r>
              <w:rPr>
                <w:rFonts w:hint="eastAsia"/>
                <w:kern w:val="0"/>
                <w:szCs w:val="21"/>
              </w:rPr>
              <w:t>知识考试系统，</w:t>
            </w:r>
            <w:r>
              <w:rPr>
                <w:kern w:val="0"/>
                <w:szCs w:val="21"/>
              </w:rPr>
              <w:t>具有学习与考试功能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查看考试系统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题库内容包含</w:t>
            </w:r>
            <w:proofErr w:type="gramStart"/>
            <w:r>
              <w:rPr>
                <w:rFonts w:hint="eastAsia"/>
                <w:kern w:val="0"/>
                <w:szCs w:val="21"/>
              </w:rPr>
              <w:t>通识类和</w:t>
            </w:r>
            <w:proofErr w:type="gramEnd"/>
            <w:r>
              <w:rPr>
                <w:rFonts w:hint="eastAsia"/>
                <w:kern w:val="0"/>
                <w:szCs w:val="21"/>
              </w:rPr>
              <w:t>各专业学科分类安全知识、安全规范、国家相关法律法规、应急措施等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每年组织新教工、本科生和研究生新生学习与考试，</w:t>
            </w:r>
            <w:r>
              <w:rPr>
                <w:rFonts w:hint="eastAsia"/>
                <w:kern w:val="0"/>
                <w:szCs w:val="21"/>
              </w:rPr>
              <w:t>通过</w:t>
            </w:r>
            <w:r>
              <w:rPr>
                <w:kern w:val="0"/>
                <w:szCs w:val="21"/>
              </w:rPr>
              <w:t>者</w:t>
            </w:r>
            <w:r>
              <w:rPr>
                <w:rFonts w:hint="eastAsia"/>
                <w:kern w:val="0"/>
                <w:szCs w:val="21"/>
              </w:rPr>
              <w:t>发放</w:t>
            </w:r>
            <w:r>
              <w:rPr>
                <w:kern w:val="0"/>
                <w:szCs w:val="21"/>
              </w:rPr>
              <w:t>合格证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安全文化</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有适合学校特色的安全文化建设计划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编印实验室安全手册并发放到每一位师生，承诺书归档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查看每年发放记录、师生签字的承诺书</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查看相关网页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加强</w:t>
            </w:r>
            <w:r>
              <w:rPr>
                <w:kern w:val="0"/>
                <w:szCs w:val="21"/>
              </w:rPr>
              <w:t>宣传</w:t>
            </w:r>
            <w:r>
              <w:rPr>
                <w:rFonts w:hint="eastAsia"/>
                <w:kern w:val="0"/>
                <w:szCs w:val="21"/>
              </w:rPr>
              <w:t>，有</w:t>
            </w:r>
            <w:r>
              <w:rPr>
                <w:kern w:val="0"/>
                <w:szCs w:val="21"/>
              </w:rPr>
              <w:t>安全文化</w:t>
            </w:r>
            <w:r>
              <w:rPr>
                <w:rFonts w:hint="eastAsia"/>
                <w:kern w:val="0"/>
                <w:szCs w:val="21"/>
              </w:rPr>
              <w:t>专门</w:t>
            </w:r>
            <w:r>
              <w:rPr>
                <w:kern w:val="0"/>
                <w:szCs w:val="21"/>
              </w:rPr>
              <w:t>举措</w:t>
            </w:r>
            <w:r>
              <w:rPr>
                <w:rFonts w:hint="eastAsia"/>
                <w:kern w:val="0"/>
                <w:szCs w:val="21"/>
              </w:rPr>
              <w:t>或</w:t>
            </w:r>
            <w:r>
              <w:rPr>
                <w:kern w:val="0"/>
                <w:szCs w:val="21"/>
              </w:rPr>
              <w:t>活动，如</w:t>
            </w:r>
            <w:proofErr w:type="gramStart"/>
            <w:r>
              <w:rPr>
                <w:rFonts w:hint="eastAsia"/>
                <w:kern w:val="0"/>
                <w:szCs w:val="21"/>
              </w:rPr>
              <w:t>微信</w:t>
            </w:r>
            <w:r>
              <w:rPr>
                <w:kern w:val="0"/>
                <w:szCs w:val="21"/>
              </w:rPr>
              <w:t>公众号</w:t>
            </w:r>
            <w:proofErr w:type="gramEnd"/>
            <w:r>
              <w:rPr>
                <w:kern w:val="0"/>
                <w:szCs w:val="21"/>
              </w:rPr>
              <w:t>、</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w:t>
            </w:r>
            <w:proofErr w:type="gramStart"/>
            <w:r>
              <w:rPr>
                <w:kern w:val="0"/>
                <w:szCs w:val="21"/>
              </w:rPr>
              <w:t>微电影</w:t>
            </w:r>
            <w:proofErr w:type="gramEnd"/>
            <w:r>
              <w:rPr>
                <w:kern w:val="0"/>
                <w:szCs w:val="21"/>
              </w:rPr>
              <w:t>拍摄等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kern w:val="0"/>
                <w:szCs w:val="21"/>
              </w:rPr>
              <w:t>有安全教育宣传窗</w:t>
            </w:r>
            <w:r>
              <w:rPr>
                <w:rFonts w:hint="eastAsia"/>
                <w:kern w:val="0"/>
                <w:szCs w:val="21"/>
              </w:rPr>
              <w:t>、</w:t>
            </w:r>
            <w:r>
              <w:rPr>
                <w:kern w:val="0"/>
                <w:szCs w:val="21"/>
              </w:rPr>
              <w:t>宣传画、标语</w:t>
            </w:r>
            <w:r>
              <w:rPr>
                <w:rFonts w:hint="eastAsia"/>
                <w:kern w:val="0"/>
                <w:szCs w:val="21"/>
              </w:rPr>
              <w:t>、</w:t>
            </w:r>
            <w:r>
              <w:rPr>
                <w:kern w:val="0"/>
                <w:szCs w:val="21"/>
              </w:rPr>
              <w:t>温馨提示等</w:t>
            </w:r>
            <w:r>
              <w:rPr>
                <w:rFonts w:hint="eastAsia"/>
                <w:kern w:val="0"/>
                <w:szCs w:val="21"/>
              </w:rPr>
              <w:t>；</w:t>
            </w:r>
            <w:r>
              <w:rPr>
                <w:bCs/>
                <w:kern w:val="0"/>
                <w:szCs w:val="21"/>
              </w:rPr>
              <w:t>查看存档资料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通过各种信息</w:t>
            </w:r>
            <w:r>
              <w:rPr>
                <w:rFonts w:hint="eastAsia"/>
                <w:kern w:val="0"/>
                <w:szCs w:val="21"/>
              </w:rPr>
              <w:t>/</w:t>
            </w:r>
            <w:r>
              <w:rPr>
                <w:rFonts w:hint="eastAsia"/>
                <w:kern w:val="0"/>
                <w:szCs w:val="21"/>
              </w:rPr>
              <w:t>媒体</w:t>
            </w:r>
            <w:r>
              <w:rPr>
                <w:kern w:val="0"/>
                <w:szCs w:val="21"/>
              </w:rPr>
              <w:t>平台对师生进行安全知识传输和温馨提醒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查看信息</w:t>
            </w:r>
            <w:r>
              <w:rPr>
                <w:rFonts w:hint="eastAsia"/>
                <w:bCs/>
                <w:kern w:val="0"/>
                <w:szCs w:val="21"/>
              </w:rPr>
              <w:t>/</w:t>
            </w:r>
            <w:r>
              <w:rPr>
                <w:rFonts w:hint="eastAsia"/>
                <w:bCs/>
                <w:kern w:val="0"/>
                <w:szCs w:val="21"/>
              </w:rPr>
              <w:t>媒体</w:t>
            </w:r>
            <w:r>
              <w:rPr>
                <w:bCs/>
                <w:kern w:val="0"/>
                <w:szCs w:val="21"/>
              </w:rPr>
              <w:t>平台</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危险源辨识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学校、学院层面</w:t>
            </w:r>
            <w:r>
              <w:rPr>
                <w:rFonts w:hint="eastAsia"/>
                <w:bCs/>
                <w:kern w:val="0"/>
                <w:szCs w:val="21"/>
              </w:rPr>
              <w:t>建立</w:t>
            </w:r>
            <w:r>
              <w:rPr>
                <w:bCs/>
                <w:kern w:val="0"/>
                <w:szCs w:val="21"/>
              </w:rPr>
              <w:t>了</w:t>
            </w:r>
            <w:r>
              <w:rPr>
                <w:rFonts w:hint="eastAsia"/>
                <w:bCs/>
                <w:kern w:val="0"/>
                <w:szCs w:val="21"/>
              </w:rPr>
              <w:t>实验室</w:t>
            </w:r>
            <w:r>
              <w:rPr>
                <w:bCs/>
                <w:kern w:val="0"/>
                <w:szCs w:val="21"/>
              </w:rPr>
              <w:t>安全</w:t>
            </w:r>
            <w:r>
              <w:rPr>
                <w:rFonts w:hint="eastAsia"/>
                <w:bCs/>
                <w:kern w:val="0"/>
                <w:szCs w:val="21"/>
              </w:rPr>
              <w:t>危险源清单，内容包括涉及单位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查看清单和明细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实验室有针对本</w:t>
            </w:r>
            <w:proofErr w:type="gramStart"/>
            <w:r>
              <w:rPr>
                <w:bCs/>
                <w:kern w:val="0"/>
                <w:szCs w:val="21"/>
              </w:rPr>
              <w:t>室重要</w:t>
            </w:r>
            <w:proofErr w:type="gramEnd"/>
            <w:r>
              <w:rPr>
                <w:bCs/>
                <w:kern w:val="0"/>
                <w:szCs w:val="21"/>
              </w:rPr>
              <w:t>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学校层面的定期</w:t>
            </w:r>
            <w:r>
              <w:rPr>
                <w:rFonts w:hint="eastAsia"/>
                <w:bCs/>
                <w:kern w:val="0"/>
                <w:szCs w:val="21"/>
              </w:rPr>
              <w:t>/</w:t>
            </w:r>
            <w:r>
              <w:rPr>
                <w:rFonts w:hint="eastAsia"/>
                <w:bCs/>
                <w:kern w:val="0"/>
                <w:szCs w:val="21"/>
              </w:rPr>
              <w:t>不定期检查每年不少于</w:t>
            </w:r>
            <w:r>
              <w:rPr>
                <w:rFonts w:hint="eastAsia"/>
                <w:bCs/>
                <w:kern w:val="0"/>
                <w:szCs w:val="21"/>
              </w:rPr>
              <w:t>4</w:t>
            </w:r>
            <w:r>
              <w:rPr>
                <w:rFonts w:hint="eastAsia"/>
                <w:bCs/>
                <w:kern w:val="0"/>
                <w:szCs w:val="21"/>
              </w:rPr>
              <w:t>次，并记录存档</w:t>
            </w:r>
          </w:p>
        </w:tc>
        <w:tc>
          <w:tcPr>
            <w:tcW w:w="3260" w:type="dxa"/>
            <w:vMerge w:val="restart"/>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针对高危实验物品（如剧毒品、</w:t>
            </w:r>
            <w:r>
              <w:rPr>
                <w:kern w:val="0"/>
                <w:szCs w:val="21"/>
              </w:rPr>
              <w:t>病原微生物、</w:t>
            </w:r>
            <w:r>
              <w:rPr>
                <w:rFonts w:hint="eastAsia"/>
                <w:kern w:val="0"/>
                <w:szCs w:val="21"/>
              </w:rPr>
              <w:t>放射源等），每年有专项检查</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组织</w:t>
            </w:r>
            <w:r>
              <w:rPr>
                <w:rFonts w:hint="eastAsia"/>
                <w:kern w:val="0"/>
                <w:szCs w:val="21"/>
              </w:rPr>
              <w:t>专门人员开展定期检查，每月不少于</w:t>
            </w:r>
            <w:r>
              <w:rPr>
                <w:rFonts w:hint="eastAsia"/>
                <w:kern w:val="0"/>
                <w:szCs w:val="21"/>
              </w:rPr>
              <w:t>1</w:t>
            </w:r>
            <w:r>
              <w:rPr>
                <w:rFonts w:hint="eastAsia"/>
                <w:kern w:val="0"/>
                <w:szCs w:val="21"/>
              </w:rPr>
              <w:t>次，并记录存档</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w:t>
            </w:r>
            <w:proofErr w:type="gramStart"/>
            <w:r>
              <w:rPr>
                <w:rFonts w:hint="eastAsia"/>
                <w:kern w:val="0"/>
                <w:szCs w:val="21"/>
              </w:rPr>
              <w:t>值日台</w:t>
            </w:r>
            <w:proofErr w:type="gramEnd"/>
            <w:r>
              <w:rPr>
                <w:rFonts w:hint="eastAsia"/>
                <w:kern w:val="0"/>
                <w:szCs w:val="21"/>
              </w:rPr>
              <w:t>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隐患整改</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对于检查</w:t>
            </w:r>
            <w:r>
              <w:rPr>
                <w:rFonts w:hint="eastAsia"/>
                <w:kern w:val="0"/>
                <w:szCs w:val="21"/>
              </w:rPr>
              <w:t>中发现的</w:t>
            </w:r>
            <w:r>
              <w:rPr>
                <w:kern w:val="0"/>
                <w:szCs w:val="21"/>
              </w:rPr>
              <w:t>问题，</w:t>
            </w:r>
            <w:r>
              <w:rPr>
                <w:rFonts w:hint="eastAsia"/>
                <w:kern w:val="0"/>
                <w:szCs w:val="21"/>
              </w:rPr>
              <w:t>有</w:t>
            </w:r>
            <w:r>
              <w:rPr>
                <w:kern w:val="0"/>
                <w:szCs w:val="21"/>
              </w:rPr>
              <w:t>合适的方式通知被查实验室</w:t>
            </w:r>
            <w:r>
              <w:rPr>
                <w:rFonts w:hint="eastAsia"/>
                <w:kern w:val="0"/>
                <w:szCs w:val="21"/>
              </w:rPr>
              <w:t>相关负责人及院系（</w:t>
            </w:r>
            <w:r>
              <w:rPr>
                <w:kern w:val="0"/>
                <w:szCs w:val="21"/>
              </w:rPr>
              <w:t>如网上公示、整改通知书等</w:t>
            </w:r>
            <w:r>
              <w:rPr>
                <w:rFonts w:hint="eastAsia"/>
                <w:kern w:val="0"/>
                <w:szCs w:val="21"/>
              </w:rPr>
              <w:t>）</w:t>
            </w:r>
            <w:r>
              <w:rPr>
                <w:kern w:val="0"/>
                <w:szCs w:val="21"/>
              </w:rPr>
              <w:t>，并规范存档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w:t>
            </w:r>
            <w:r>
              <w:rPr>
                <w:bCs/>
                <w:kern w:val="0"/>
                <w:szCs w:val="21"/>
              </w:rPr>
              <w:t>资料</w:t>
            </w:r>
            <w:r>
              <w:rPr>
                <w:rFonts w:hint="eastAsia"/>
                <w:bCs/>
                <w:kern w:val="0"/>
                <w:szCs w:val="21"/>
              </w:rPr>
              <w:t>、</w:t>
            </w:r>
            <w:r>
              <w:rPr>
                <w:bCs/>
                <w:kern w:val="0"/>
                <w:szCs w:val="21"/>
              </w:rPr>
              <w:t>整改通知书需有</w:t>
            </w:r>
            <w:r>
              <w:rPr>
                <w:rFonts w:hint="eastAsia"/>
                <w:bCs/>
                <w:kern w:val="0"/>
                <w:szCs w:val="21"/>
              </w:rPr>
              <w:t>被</w:t>
            </w:r>
            <w:r>
              <w:rPr>
                <w:bCs/>
                <w:kern w:val="0"/>
                <w:szCs w:val="21"/>
              </w:rPr>
              <w:t>查院系单位签收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落实</w:t>
            </w:r>
            <w:r>
              <w:rPr>
                <w:rFonts w:hint="eastAsia"/>
                <w:kern w:val="0"/>
                <w:szCs w:val="21"/>
              </w:rPr>
              <w:t>问题隐患的</w:t>
            </w:r>
            <w:r>
              <w:rPr>
                <w:kern w:val="0"/>
                <w:szCs w:val="21"/>
              </w:rPr>
              <w:t>整改</w:t>
            </w:r>
            <w:r>
              <w:rPr>
                <w:rFonts w:hint="eastAsia"/>
                <w:kern w:val="0"/>
                <w:szCs w:val="21"/>
              </w:rPr>
              <w:t>，整改报告</w:t>
            </w:r>
            <w:r>
              <w:rPr>
                <w:kern w:val="0"/>
                <w:szCs w:val="21"/>
              </w:rPr>
              <w:t>在规定时间内提交</w:t>
            </w:r>
            <w:r>
              <w:rPr>
                <w:rFonts w:hint="eastAsia"/>
                <w:kern w:val="0"/>
                <w:szCs w:val="21"/>
              </w:rPr>
              <w:t>学校管理</w:t>
            </w:r>
            <w:r>
              <w:rPr>
                <w:kern w:val="0"/>
                <w:szCs w:val="21"/>
              </w:rPr>
              <w:t>部门</w:t>
            </w:r>
            <w:r>
              <w:rPr>
                <w:rFonts w:hint="eastAsia"/>
                <w:kern w:val="0"/>
                <w:szCs w:val="21"/>
              </w:rPr>
              <w:t>，并归档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查看存档资料、</w:t>
            </w:r>
            <w:r>
              <w:rPr>
                <w:bCs/>
                <w:kern w:val="0"/>
                <w:szCs w:val="21"/>
              </w:rPr>
              <w:t>整改前后有证明材料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如有重大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安全报告</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w:t>
            </w:r>
            <w:r>
              <w:rPr>
                <w:rFonts w:hint="eastAsia"/>
                <w:bCs/>
                <w:kern w:val="0"/>
                <w:szCs w:val="21"/>
              </w:rPr>
              <w:t>公示</w:t>
            </w:r>
            <w:r>
              <w:rPr>
                <w:bCs/>
                <w:kern w:val="0"/>
                <w:szCs w:val="21"/>
              </w:rPr>
              <w:t>的</w:t>
            </w:r>
            <w:r>
              <w:rPr>
                <w:kern w:val="0"/>
                <w:szCs w:val="21"/>
              </w:rPr>
              <w:t>安全检查</w:t>
            </w:r>
            <w:r>
              <w:rPr>
                <w:rFonts w:hint="eastAsia"/>
                <w:kern w:val="0"/>
                <w:szCs w:val="21"/>
              </w:rPr>
              <w:t>通报（定期</w:t>
            </w:r>
            <w:r>
              <w:rPr>
                <w:rFonts w:hint="eastAsia"/>
                <w:kern w:val="0"/>
                <w:szCs w:val="21"/>
              </w:rPr>
              <w:t>/</w:t>
            </w:r>
            <w:r>
              <w:rPr>
                <w:kern w:val="0"/>
                <w:szCs w:val="21"/>
              </w:rPr>
              <w:t>不定期</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查看相关资料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院系有安全检查记录，</w:t>
            </w:r>
            <w:r>
              <w:rPr>
                <w:kern w:val="0"/>
                <w:szCs w:val="21"/>
              </w:rPr>
              <w:t>存档记录规范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查看相应存档内容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检查人员规范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标识及相关器具，或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装具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检查辐射场所要佩戴</w:t>
            </w:r>
            <w:r>
              <w:rPr>
                <w:rFonts w:hint="eastAsia"/>
                <w:szCs w:val="21"/>
              </w:rPr>
              <w:t>个人</w:t>
            </w:r>
            <w:r>
              <w:rPr>
                <w:szCs w:val="21"/>
              </w:rPr>
              <w:t>辐射剂量计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剂量计</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用具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场所</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5.1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w:t>
            </w:r>
            <w:r>
              <w:rPr>
                <w:rFonts w:hint="eastAsia"/>
                <w:b/>
                <w:kern w:val="0"/>
                <w:szCs w:val="21"/>
              </w:rPr>
              <w:t>环境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eastAsia="等线"/>
                <w:szCs w:val="21"/>
              </w:rPr>
              <w:t>5.1.1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室内外</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eastAsia="等线"/>
                <w:szCs w:val="21"/>
              </w:rPr>
              <w:t>5.1.2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有信息牌，信息完整，应急电话有效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消防通道通畅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实验楼大走廊在特殊情况下允许单边放置冰箱等设备（需加</w:t>
            </w:r>
            <w:r>
              <w:rPr>
                <w:szCs w:val="21"/>
              </w:rPr>
              <w:t>锁</w:t>
            </w:r>
            <w:r>
              <w:rPr>
                <w:rFonts w:hint="eastAsia"/>
                <w:szCs w:val="21"/>
              </w:rPr>
              <w:t>），但必须保证留有大于</w:t>
            </w:r>
            <w:r>
              <w:rPr>
                <w:rFonts w:hint="eastAsia"/>
                <w:szCs w:val="21"/>
              </w:rPr>
              <w:t>2.0</w:t>
            </w:r>
            <w:r>
              <w:rPr>
                <w:rFonts w:hint="eastAsia"/>
                <w:szCs w:val="21"/>
              </w:rPr>
              <w:t>米净宽的消防通道，需</w:t>
            </w:r>
            <w:r>
              <w:rPr>
                <w:szCs w:val="21"/>
              </w:rPr>
              <w:t>向学校报</w:t>
            </w:r>
            <w:r>
              <w:rPr>
                <w:rFonts w:hint="eastAsia"/>
                <w:szCs w:val="21"/>
              </w:rPr>
              <w:t>批；不得放置加热、机械运动设备</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r>
              <w:rPr>
                <w:rFonts w:hint="eastAsia"/>
                <w:bCs/>
                <w:szCs w:val="21"/>
              </w:rPr>
              <w:t>、</w:t>
            </w:r>
            <w:r>
              <w:rPr>
                <w:bCs/>
                <w:szCs w:val="21"/>
              </w:rPr>
              <w:t>报</w:t>
            </w:r>
            <w:r>
              <w:rPr>
                <w:rFonts w:hint="eastAsia"/>
                <w:bCs/>
                <w:szCs w:val="21"/>
              </w:rPr>
              <w:t>批</w:t>
            </w:r>
            <w:r>
              <w:rPr>
                <w:bCs/>
                <w:szCs w:val="21"/>
              </w:rPr>
              <w:t>记录</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5.1.7</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实验室人均面积符合规定要求，其中理工农</w:t>
            </w:r>
            <w:proofErr w:type="gramStart"/>
            <w:r>
              <w:rPr>
                <w:rFonts w:hint="eastAsia"/>
                <w:szCs w:val="21"/>
              </w:rPr>
              <w:t>医</w:t>
            </w:r>
            <w:proofErr w:type="gramEnd"/>
            <w:r>
              <w:rPr>
                <w:rFonts w:hint="eastAsia"/>
                <w:szCs w:val="21"/>
              </w:rPr>
              <w:t>类不小于</w:t>
            </w:r>
            <w:r>
              <w:rPr>
                <w:rFonts w:hint="eastAsia"/>
                <w:szCs w:val="21"/>
              </w:rPr>
              <w:t>2.5</w:t>
            </w:r>
            <w:r>
              <w:rPr>
                <w:rFonts w:hint="eastAsia"/>
                <w:szCs w:val="21"/>
              </w:rPr>
              <w:t>平方米</w:t>
            </w:r>
            <w:r>
              <w:rPr>
                <w:rFonts w:hint="eastAsia"/>
                <w:szCs w:val="21"/>
              </w:rPr>
              <w:t>/</w:t>
            </w:r>
            <w:r>
              <w:rPr>
                <w:rFonts w:hint="eastAsia"/>
                <w:szCs w:val="21"/>
              </w:rPr>
              <w:t>人，社科类不小于</w:t>
            </w:r>
            <w:r>
              <w:rPr>
                <w:rFonts w:hint="eastAsia"/>
                <w:szCs w:val="21"/>
              </w:rPr>
              <w:t>1.5</w:t>
            </w:r>
            <w:r>
              <w:rPr>
                <w:rFonts w:hint="eastAsia"/>
                <w:szCs w:val="21"/>
              </w:rPr>
              <w:t>平方米</w:t>
            </w:r>
            <w:r>
              <w:rPr>
                <w:rFonts w:hint="eastAsia"/>
                <w:szCs w:val="21"/>
              </w:rPr>
              <w:t>/</w:t>
            </w:r>
            <w:r>
              <w:rPr>
                <w:rFonts w:hint="eastAsia"/>
                <w:szCs w:val="21"/>
              </w:rPr>
              <w:t>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观察实验台</w:t>
            </w:r>
            <w:r>
              <w:rPr>
                <w:bCs/>
                <w:szCs w:val="21"/>
              </w:rPr>
              <w:t>与总面积</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szCs w:val="21"/>
              </w:rPr>
              <w:t>5.1.9</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w:t>
            </w:r>
            <w:proofErr w:type="gramStart"/>
            <w:r>
              <w:rPr>
                <w:szCs w:val="21"/>
              </w:rPr>
              <w:t>操作区</w:t>
            </w:r>
            <w:proofErr w:type="gramEnd"/>
            <w:r>
              <w:rPr>
                <w:szCs w:val="21"/>
              </w:rPr>
              <w:t>层高不低于</w:t>
            </w:r>
            <w:r>
              <w:rPr>
                <w:rFonts w:hint="eastAsia"/>
                <w:szCs w:val="21"/>
              </w:rPr>
              <w:t>2</w:t>
            </w:r>
            <w:r>
              <w:rPr>
                <w:rFonts w:hint="eastAsia"/>
                <w:szCs w:val="21"/>
              </w:rPr>
              <w:t>米</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查看现场</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5.1.10</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实验</w:t>
            </w:r>
            <w:proofErr w:type="gramStart"/>
            <w:r>
              <w:rPr>
                <w:rFonts w:hint="eastAsia"/>
                <w:bCs/>
                <w:szCs w:val="21"/>
              </w:rPr>
              <w:t>台材料</w:t>
            </w:r>
            <w:proofErr w:type="gramEnd"/>
            <w:r>
              <w:rPr>
                <w:rFonts w:hint="eastAsia"/>
                <w:bCs/>
                <w:szCs w:val="21"/>
              </w:rPr>
              <w:t>合格</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有必要的振动屏蔽措施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proofErr w:type="gramStart"/>
            <w:r>
              <w:rPr>
                <w:rFonts w:hint="eastAsia"/>
                <w:szCs w:val="21"/>
              </w:rPr>
              <w:t>易对外</w:t>
            </w:r>
            <w:proofErr w:type="gramEnd"/>
            <w:r>
              <w:rPr>
                <w:rFonts w:hint="eastAsia"/>
                <w:szCs w:val="21"/>
              </w:rPr>
              <w:t>产生磁场或易受磁场干扰的设备，需做好磁屏蔽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有必要的磁屏蔽措施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照明良好，桌面光照度一般不小于</w:t>
            </w:r>
            <w:r>
              <w:rPr>
                <w:rFonts w:hint="eastAsia"/>
                <w:szCs w:val="21"/>
              </w:rPr>
              <w:t>150</w:t>
            </w:r>
            <w:r>
              <w:rPr>
                <w:szCs w:val="21"/>
              </w:rPr>
              <w:t xml:space="preserve"> </w:t>
            </w:r>
            <w:r>
              <w:rPr>
                <w:rFonts w:hint="eastAsia"/>
                <w:szCs w:val="21"/>
              </w:rPr>
              <w:t>LX</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照明良好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hint="eastAsia"/>
                <w:szCs w:val="21"/>
              </w:rPr>
              <w:t>5.1.15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噪声达标</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5.1.16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现场或实验室图片</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5.1.17</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b/>
                <w:kern w:val="0"/>
                <w:szCs w:val="21"/>
              </w:rPr>
              <w:t>5.</w:t>
            </w:r>
            <w:r>
              <w:rPr>
                <w:rFonts w:hint="eastAsia"/>
                <w:b/>
                <w:kern w:val="0"/>
                <w:szCs w:val="21"/>
              </w:rPr>
              <w:t>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管线基础安全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kern w:val="0"/>
                <w:szCs w:val="21"/>
              </w:rPr>
            </w:pPr>
            <w:r>
              <w:rPr>
                <w:rFonts w:eastAsia="等线"/>
                <w:szCs w:val="21"/>
              </w:rPr>
              <w:t>5.2.1</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管线布局合理</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5.2.2</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供气管道有标识，无破损</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5.2.3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可燃气管道远离高温、明火</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5.</w:t>
            </w:r>
            <w:r>
              <w:rPr>
                <w:rFonts w:hint="eastAsia"/>
                <w:b/>
                <w:kern w:val="0"/>
                <w:szCs w:val="21"/>
              </w:rPr>
              <w:t>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卫生与</w:t>
            </w:r>
            <w:r>
              <w:rPr>
                <w:rFonts w:hint="eastAsia"/>
                <w:b/>
                <w:kern w:val="0"/>
                <w:szCs w:val="21"/>
              </w:rPr>
              <w:t>日常管理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eastAsia="等线"/>
                <w:kern w:val="0"/>
                <w:szCs w:val="21"/>
              </w:rPr>
            </w:pPr>
            <w:r>
              <w:rPr>
                <w:rFonts w:eastAsia="等线"/>
                <w:szCs w:val="21"/>
              </w:rPr>
              <w:t>5.3.1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有毒有害实验区与学习区明确分开，布局合理；</w:t>
            </w:r>
            <w:r>
              <w:rPr>
                <w:rFonts w:hint="eastAsia"/>
                <w:bCs/>
                <w:szCs w:val="21"/>
              </w:rPr>
              <w:t>实验区不准</w:t>
            </w:r>
            <w:r>
              <w:rPr>
                <w:bCs/>
                <w:szCs w:val="21"/>
              </w:rPr>
              <w:t>饮食</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整洁卫生有序</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人员要在岗</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hint="eastAsia"/>
                <w:szCs w:val="21"/>
              </w:rPr>
              <w:t>5.3.5</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记录表</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5.4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场所其它安全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eastAsia="等线"/>
                <w:kern w:val="0"/>
                <w:szCs w:val="21"/>
              </w:rPr>
            </w:pPr>
            <w:r>
              <w:rPr>
                <w:rFonts w:eastAsia="等线"/>
                <w:szCs w:val="21"/>
              </w:rPr>
              <w:t>5.4.1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危险性实验室配备了急救药箱，药箱</w:t>
            </w:r>
            <w:proofErr w:type="gramStart"/>
            <w:r>
              <w:rPr>
                <w:rFonts w:hint="eastAsia"/>
                <w:szCs w:val="21"/>
              </w:rPr>
              <w:t>不</w:t>
            </w:r>
            <w:proofErr w:type="gramEnd"/>
            <w:r>
              <w:rPr>
                <w:rFonts w:hint="eastAsia"/>
                <w:szCs w:val="21"/>
              </w:rPr>
              <w:t>上锁、药品在保质期内</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proofErr w:type="gramStart"/>
            <w:r>
              <w:rPr>
                <w:bCs/>
                <w:szCs w:val="21"/>
              </w:rPr>
              <w:t>不</w:t>
            </w:r>
            <w:proofErr w:type="gramEnd"/>
            <w:r>
              <w:rPr>
                <w:bCs/>
                <w:szCs w:val="21"/>
              </w:rPr>
              <w:t>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5.4.3</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5.4.5</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w:t>
            </w:r>
            <w:r>
              <w:rPr>
                <w:bCs/>
                <w:szCs w:val="21"/>
              </w:rPr>
              <w:t>席子、被褥等</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5.4.6</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Pr="00DF4258" w:rsidRDefault="00651AD6">
            <w:pPr>
              <w:spacing w:line="300" w:lineRule="exact"/>
              <w:jc w:val="left"/>
              <w:rPr>
                <w:rFonts w:eastAsia="等线"/>
                <w:szCs w:val="21"/>
              </w:rPr>
            </w:pPr>
            <w:r w:rsidRPr="00DF4258">
              <w:rPr>
                <w:rFonts w:eastAsia="等线" w:hint="eastAsia"/>
                <w:szCs w:val="21"/>
              </w:rPr>
              <w:t>5</w:t>
            </w:r>
            <w:r w:rsidRPr="00DF4258">
              <w:rPr>
                <w:rFonts w:eastAsia="等线"/>
                <w:szCs w:val="21"/>
              </w:rPr>
              <w:t>.4.7</w:t>
            </w:r>
          </w:p>
        </w:tc>
        <w:tc>
          <w:tcPr>
            <w:tcW w:w="5810" w:type="dxa"/>
            <w:shd w:val="clear" w:color="auto" w:fill="auto"/>
            <w:tcMar>
              <w:left w:w="45" w:type="dxa"/>
              <w:right w:w="45" w:type="dxa"/>
            </w:tcMar>
            <w:vAlign w:val="center"/>
          </w:tcPr>
          <w:p w:rsidR="00394BF6" w:rsidRPr="00DF4258" w:rsidRDefault="00651AD6">
            <w:pPr>
              <w:spacing w:line="300" w:lineRule="exact"/>
              <w:rPr>
                <w:szCs w:val="21"/>
              </w:rPr>
            </w:pPr>
            <w:r w:rsidRPr="00DF4258">
              <w:rPr>
                <w:rFonts w:hint="eastAsia"/>
                <w:szCs w:val="21"/>
              </w:rPr>
              <w:t>废弃</w:t>
            </w:r>
            <w:r w:rsidRPr="00DF4258">
              <w:rPr>
                <w:szCs w:val="21"/>
              </w:rPr>
              <w:t>不用的实验室，需</w:t>
            </w:r>
            <w:r w:rsidRPr="00DF4258">
              <w:rPr>
                <w:rFonts w:hint="eastAsia"/>
                <w:szCs w:val="21"/>
              </w:rPr>
              <w:t>明确</w:t>
            </w:r>
            <w:r w:rsidRPr="00DF4258">
              <w:rPr>
                <w:szCs w:val="21"/>
              </w:rPr>
              <w:t>责任</w:t>
            </w:r>
            <w:r w:rsidRPr="00DF4258">
              <w:rPr>
                <w:rFonts w:hint="eastAsia"/>
                <w:szCs w:val="21"/>
              </w:rPr>
              <w:t>落实</w:t>
            </w:r>
            <w:r w:rsidRPr="00DF4258">
              <w:rPr>
                <w:szCs w:val="21"/>
              </w:rPr>
              <w:t>安全防范措施</w:t>
            </w:r>
            <w:r w:rsidRPr="00DF4258">
              <w:rPr>
                <w:rFonts w:hint="eastAsia"/>
                <w:szCs w:val="21"/>
              </w:rPr>
              <w:t>；具有</w:t>
            </w:r>
            <w:r w:rsidRPr="00DF4258">
              <w:rPr>
                <w:szCs w:val="21"/>
              </w:rPr>
              <w:t>危险隐患的实验室及设备在拆除前必须做好安全论证</w:t>
            </w:r>
            <w:r w:rsidRPr="00DF4258">
              <w:rPr>
                <w:rFonts w:hint="eastAsia"/>
                <w:szCs w:val="21"/>
              </w:rPr>
              <w:t>，</w:t>
            </w:r>
            <w:r w:rsidRPr="00DF4258">
              <w:rPr>
                <w:szCs w:val="21"/>
              </w:rPr>
              <w:t>并认真实施</w:t>
            </w:r>
          </w:p>
        </w:tc>
        <w:tc>
          <w:tcPr>
            <w:tcW w:w="3260" w:type="dxa"/>
            <w:shd w:val="clear" w:color="auto" w:fill="auto"/>
            <w:tcMar>
              <w:left w:w="45" w:type="dxa"/>
              <w:right w:w="45" w:type="dxa"/>
            </w:tcMar>
            <w:vAlign w:val="center"/>
          </w:tcPr>
          <w:p w:rsidR="00394BF6" w:rsidRPr="00DF4258" w:rsidRDefault="00651AD6">
            <w:pPr>
              <w:spacing w:line="300" w:lineRule="exact"/>
              <w:jc w:val="left"/>
              <w:rPr>
                <w:bCs/>
                <w:szCs w:val="21"/>
              </w:rPr>
            </w:pPr>
            <w:r w:rsidRPr="00DF4258">
              <w:rPr>
                <w:rFonts w:hint="eastAsia"/>
                <w:bCs/>
                <w:szCs w:val="21"/>
              </w:rPr>
              <w:t>查看现场</w:t>
            </w:r>
            <w:r w:rsidRPr="00DF4258">
              <w:rPr>
                <w:bCs/>
                <w:szCs w:val="21"/>
              </w:rPr>
              <w:t>与资料</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安全设施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消防设施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具有潜在火灾危险的实验室内应配备合适的灭火设备（烟感</w:t>
            </w:r>
            <w:r>
              <w:rPr>
                <w:rFonts w:asciiTheme="minorEastAsia" w:eastAsiaTheme="minorEastAsia" w:hAnsiTheme="minorEastAsia"/>
                <w:kern w:val="0"/>
                <w:szCs w:val="21"/>
              </w:rPr>
              <w:t>报警器、</w:t>
            </w:r>
            <w:r>
              <w:rPr>
                <w:rFonts w:asciiTheme="minorEastAsia" w:eastAsiaTheme="minorEastAsia" w:hAnsiTheme="minorEastAsia" w:hint="eastAsia"/>
                <w:kern w:val="0"/>
                <w:szCs w:val="21"/>
              </w:rPr>
              <w:t>灭火器、 灭火</w:t>
            </w:r>
            <w:proofErr w:type="gramStart"/>
            <w:r>
              <w:rPr>
                <w:rFonts w:asciiTheme="minorEastAsia" w:eastAsiaTheme="minorEastAsia" w:hAnsiTheme="minorEastAsia" w:hint="eastAsia"/>
                <w:kern w:val="0"/>
                <w:szCs w:val="21"/>
              </w:rPr>
              <w:t>毯</w:t>
            </w:r>
            <w:proofErr w:type="gramEnd"/>
            <w:r>
              <w:rPr>
                <w:rFonts w:asciiTheme="minorEastAsia" w:eastAsiaTheme="minorEastAsia" w:hAnsiTheme="minorEastAsia" w:hint="eastAsia"/>
                <w:kern w:val="0"/>
                <w:szCs w:val="21"/>
              </w:rPr>
              <w:t>、消防沙桶、消防喷淋等），正常有效、</w:t>
            </w:r>
            <w:r>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kern w:val="0"/>
                <w:szCs w:val="21"/>
              </w:rPr>
              <w:t>灭火器种类适合；</w:t>
            </w:r>
            <w:r>
              <w:rPr>
                <w:rFonts w:asciiTheme="minorEastAsia" w:eastAsiaTheme="minorEastAsia" w:hAnsiTheme="minorEastAsia"/>
                <w:bCs/>
                <w:kern w:val="0"/>
                <w:szCs w:val="21"/>
              </w:rPr>
              <w:t>公共</w:t>
            </w:r>
            <w:r>
              <w:rPr>
                <w:rFonts w:asciiTheme="minorEastAsia" w:eastAsiaTheme="minorEastAsia" w:hAnsiTheme="minorEastAsia" w:hint="eastAsia"/>
                <w:bCs/>
                <w:kern w:val="0"/>
                <w:szCs w:val="21"/>
              </w:rPr>
              <w:t>区域</w:t>
            </w:r>
            <w:r>
              <w:rPr>
                <w:rFonts w:asciiTheme="minorEastAsia" w:eastAsiaTheme="minorEastAsia" w:hAnsiTheme="minorEastAsia"/>
                <w:bCs/>
                <w:kern w:val="0"/>
                <w:szCs w:val="21"/>
              </w:rPr>
              <w:t>灭火器数量</w:t>
            </w:r>
            <w:r>
              <w:rPr>
                <w:rFonts w:asciiTheme="minorEastAsia" w:eastAsiaTheme="minorEastAsia" w:hAnsiTheme="minorEastAsia" w:hint="eastAsia"/>
                <w:bCs/>
                <w:kern w:val="0"/>
                <w:szCs w:val="21"/>
              </w:rPr>
              <w:t>（间距）</w:t>
            </w:r>
            <w:r>
              <w:rPr>
                <w:rFonts w:asciiTheme="minorEastAsia" w:eastAsiaTheme="minorEastAsia" w:hAnsiTheme="minorEastAsia"/>
                <w:bCs/>
                <w:kern w:val="0"/>
                <w:szCs w:val="21"/>
              </w:rPr>
              <w:t>与</w:t>
            </w:r>
            <w:r>
              <w:rPr>
                <w:rFonts w:asciiTheme="minorEastAsia" w:eastAsiaTheme="minorEastAsia" w:hAnsiTheme="minorEastAsia" w:hint="eastAsia"/>
                <w:bCs/>
                <w:kern w:val="0"/>
                <w:szCs w:val="21"/>
              </w:rPr>
              <w:t>实验室</w:t>
            </w:r>
            <w:r>
              <w:rPr>
                <w:rFonts w:asciiTheme="minorEastAsia" w:eastAsiaTheme="minorEastAsia" w:hAnsiTheme="minorEastAsia"/>
                <w:bCs/>
                <w:kern w:val="0"/>
                <w:szCs w:val="21"/>
              </w:rPr>
              <w:t>安全等级</w:t>
            </w:r>
            <w:r>
              <w:rPr>
                <w:rFonts w:asciiTheme="minorEastAsia" w:eastAsiaTheme="minorEastAsia" w:hAnsiTheme="minorEastAsia" w:hint="eastAsia"/>
                <w:bCs/>
                <w:kern w:val="0"/>
                <w:szCs w:val="21"/>
              </w:rPr>
              <w:t>相</w:t>
            </w:r>
            <w:r>
              <w:rPr>
                <w:rFonts w:asciiTheme="minorEastAsia" w:eastAsiaTheme="minorEastAsia" w:hAnsiTheme="minorEastAsia"/>
                <w:bCs/>
                <w:kern w:val="0"/>
                <w:szCs w:val="21"/>
              </w:rPr>
              <w:t>适应</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灭火器在有效期内（压力指针</w:t>
            </w:r>
            <w:r>
              <w:rPr>
                <w:rFonts w:asciiTheme="minorEastAsia" w:eastAsiaTheme="minorEastAsia" w:hAnsiTheme="minorEastAsia"/>
                <w:kern w:val="0"/>
                <w:szCs w:val="21"/>
              </w:rPr>
              <w:t>位置</w:t>
            </w:r>
            <w:r>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w:t>
            </w:r>
            <w:r>
              <w:rPr>
                <w:rFonts w:asciiTheme="minorEastAsia" w:eastAsiaTheme="minorEastAsia" w:hAnsiTheme="minorEastAsia"/>
                <w:kern w:val="0"/>
                <w:szCs w:val="21"/>
              </w:rPr>
              <w:t>开展</w:t>
            </w:r>
            <w:r>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应急喷淋</w:t>
            </w:r>
            <w:r>
              <w:rPr>
                <w:rFonts w:asciiTheme="minorEastAsia" w:eastAsiaTheme="minorEastAsia" w:hAnsiTheme="minorEastAsia" w:hint="eastAsia"/>
                <w:b/>
                <w:kern w:val="0"/>
                <w:szCs w:val="21"/>
              </w:rPr>
              <w:t>与</w:t>
            </w:r>
            <w:r>
              <w:rPr>
                <w:rFonts w:asciiTheme="minorEastAsia" w:eastAsiaTheme="minorEastAsia" w:hAnsiTheme="minorEastAsia"/>
                <w:b/>
                <w:kern w:val="0"/>
                <w:szCs w:val="21"/>
              </w:rPr>
              <w:t>洗眼装置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存在可能受到化学和生物伤害的实验区域，需配置应急喷淋和洗眼装置，走廊有</w:t>
            </w:r>
            <w:proofErr w:type="gramStart"/>
            <w:r>
              <w:rPr>
                <w:rFonts w:asciiTheme="minorEastAsia" w:eastAsiaTheme="minorEastAsia" w:hAnsiTheme="minorEastAsia" w:hint="eastAsia"/>
                <w:kern w:val="0"/>
                <w:szCs w:val="21"/>
              </w:rPr>
              <w:t>显著引导</w:t>
            </w:r>
            <w:proofErr w:type="gramEnd"/>
            <w:r>
              <w:rPr>
                <w:rFonts w:asciiTheme="minorEastAsia" w:eastAsiaTheme="minorEastAsia" w:hAnsiTheme="minorEastAsia" w:hint="eastAsia"/>
                <w:kern w:val="0"/>
                <w:szCs w:val="21"/>
              </w:rPr>
              <w:t>标识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应急喷淋安装地点与工作区域之间畅通，距离不超过30米；应急喷淋安装位置合适，拉杆位置</w:t>
            </w:r>
            <w:r>
              <w:rPr>
                <w:rFonts w:asciiTheme="minorEastAsia" w:eastAsiaTheme="minorEastAsia" w:hAnsiTheme="minorEastAsia"/>
                <w:kern w:val="0"/>
                <w:szCs w:val="21"/>
              </w:rPr>
              <w:t>合适、</w:t>
            </w:r>
            <w:r>
              <w:rPr>
                <w:rFonts w:asciiTheme="minorEastAsia" w:eastAsiaTheme="minorEastAsia" w:hAnsiTheme="minorEastAsia" w:hint="eastAsia"/>
                <w:kern w:val="0"/>
                <w:szCs w:val="21"/>
              </w:rPr>
              <w:t>方向</w:t>
            </w:r>
            <w:r>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bCs/>
                <w:kern w:val="0"/>
                <w:szCs w:val="21"/>
              </w:rPr>
              <w:t>拉杆往下拉出水；在走廊</w:t>
            </w:r>
            <w:r>
              <w:rPr>
                <w:rFonts w:asciiTheme="minorEastAsia" w:eastAsiaTheme="minorEastAsia" w:hAnsiTheme="minorEastAsia" w:hint="eastAsia"/>
                <w:bCs/>
                <w:kern w:val="0"/>
                <w:szCs w:val="21"/>
              </w:rPr>
              <w:t>安装</w:t>
            </w:r>
            <w:r>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kern w:val="0"/>
                <w:szCs w:val="21"/>
              </w:rPr>
              <w:t>应急喷淋装置水管总阀处常开状，喷</w:t>
            </w:r>
            <w:r>
              <w:rPr>
                <w:rFonts w:asciiTheme="minorEastAsia" w:eastAsiaTheme="minorEastAsia" w:hAnsiTheme="minorEastAsia" w:hint="eastAsia"/>
                <w:kern w:val="0"/>
                <w:szCs w:val="21"/>
              </w:rPr>
              <w:t>淋</w:t>
            </w:r>
            <w:r>
              <w:rPr>
                <w:rFonts w:asciiTheme="minorEastAsia" w:eastAsiaTheme="minorEastAsia" w:hAnsiTheme="minorEastAsia"/>
                <w:kern w:val="0"/>
                <w:szCs w:val="21"/>
              </w:rPr>
              <w:t>头下方无障碍物</w:t>
            </w:r>
            <w:r>
              <w:rPr>
                <w:rFonts w:asciiTheme="minorEastAsia" w:eastAsiaTheme="minorEastAsia" w:hAnsiTheme="minorEastAsia" w:hint="eastAsia"/>
                <w:kern w:val="0"/>
                <w:szCs w:val="21"/>
              </w:rPr>
              <w:t>；</w:t>
            </w:r>
            <w:r>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洗眼装置接入生活用水管道，水量水压适中（喷出高度</w:t>
            </w:r>
            <w:r>
              <w:rPr>
                <w:rFonts w:asciiTheme="minorEastAsia" w:eastAsiaTheme="minorEastAsia" w:hAnsiTheme="minorEastAsia"/>
                <w:kern w:val="0"/>
                <w:szCs w:val="21"/>
              </w:rPr>
              <w:t>8</w:t>
            </w:r>
            <w:r>
              <w:rPr>
                <w:rFonts w:asciiTheme="minorEastAsia" w:eastAsiaTheme="minorEastAsia" w:hAnsiTheme="minorEastAsia" w:hint="eastAsia"/>
                <w:kern w:val="0"/>
                <w:szCs w:val="21"/>
              </w:rPr>
              <w:t>-10cm），</w:t>
            </w:r>
            <w:r>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定期维护应急喷淋与</w:t>
            </w:r>
            <w:r>
              <w:rPr>
                <w:rFonts w:asciiTheme="minorEastAsia" w:eastAsiaTheme="minorEastAsia" w:hAnsiTheme="minorEastAsia"/>
                <w:kern w:val="0"/>
                <w:szCs w:val="21"/>
              </w:rPr>
              <w:t>洗眼</w:t>
            </w:r>
            <w:r>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通风系统</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有需要的实验场所</w:t>
            </w:r>
            <w:r>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实验室</w:t>
            </w:r>
            <w:r>
              <w:rPr>
                <w:rFonts w:asciiTheme="minorEastAsia" w:eastAsiaTheme="minorEastAsia" w:hAnsiTheme="minorEastAsia"/>
                <w:kern w:val="0"/>
                <w:szCs w:val="21"/>
              </w:rPr>
              <w:t>通风系统运行</w:t>
            </w:r>
            <w:r>
              <w:rPr>
                <w:rFonts w:asciiTheme="minorEastAsia" w:eastAsiaTheme="minorEastAsia" w:hAnsiTheme="minorEastAsia" w:hint="eastAsia"/>
                <w:kern w:val="0"/>
                <w:szCs w:val="21"/>
              </w:rPr>
              <w:t>正常，</w:t>
            </w:r>
            <w:r>
              <w:rPr>
                <w:rFonts w:hint="eastAsia"/>
                <w:szCs w:val="21"/>
              </w:rPr>
              <w:t>柜口面</w:t>
            </w:r>
            <w:r>
              <w:rPr>
                <w:rFonts w:asciiTheme="minorEastAsia" w:eastAsiaTheme="minorEastAsia" w:hAnsiTheme="minorEastAsia" w:hint="eastAsia"/>
                <w:kern w:val="0"/>
                <w:szCs w:val="21"/>
              </w:rPr>
              <w:t>风速0.</w:t>
            </w:r>
            <w:r>
              <w:rPr>
                <w:rFonts w:asciiTheme="minorEastAsia" w:eastAsiaTheme="minorEastAsia" w:hAnsiTheme="minorEastAsia"/>
                <w:kern w:val="0"/>
                <w:szCs w:val="21"/>
              </w:rPr>
              <w:t>3</w:t>
            </w:r>
            <w:r>
              <w:rPr>
                <w:rFonts w:asciiTheme="minorEastAsia" w:eastAsiaTheme="minorEastAsia" w:hAnsiTheme="minorEastAsia" w:hint="eastAsia"/>
                <w:kern w:val="0"/>
                <w:szCs w:val="21"/>
              </w:rPr>
              <w:t>5-0.</w:t>
            </w:r>
            <w:r>
              <w:rPr>
                <w:rFonts w:asciiTheme="minorEastAsia" w:eastAsiaTheme="minorEastAsia" w:hAnsiTheme="minorEastAsia"/>
                <w:kern w:val="0"/>
                <w:szCs w:val="21"/>
              </w:rPr>
              <w:t>7</w:t>
            </w:r>
            <w:r>
              <w:rPr>
                <w:rFonts w:asciiTheme="minorEastAsia" w:eastAsiaTheme="minorEastAsia" w:hAnsiTheme="minorEastAsia" w:hint="eastAsia"/>
                <w:kern w:val="0"/>
                <w:szCs w:val="21"/>
              </w:rPr>
              <w:t>5 m/s，定期进行维护、检修有</w:t>
            </w:r>
            <w:r>
              <w:rPr>
                <w:rFonts w:asciiTheme="minorEastAsia" w:eastAsiaTheme="minorEastAsia" w:hAnsiTheme="minorEastAsia"/>
                <w:kern w:val="0"/>
                <w:szCs w:val="21"/>
              </w:rPr>
              <w:t>记录</w:t>
            </w:r>
            <w:r>
              <w:rPr>
                <w:rFonts w:asciiTheme="minorEastAsia" w:eastAsiaTheme="minorEastAsia" w:hAnsiTheme="minorEastAsia" w:hint="eastAsia"/>
                <w:kern w:val="0"/>
                <w:szCs w:val="21"/>
              </w:rPr>
              <w:t>；</w:t>
            </w:r>
            <w:r>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w:t>
            </w:r>
            <w:r>
              <w:rPr>
                <w:rFonts w:asciiTheme="minorEastAsia" w:eastAsiaTheme="minorEastAsia" w:hAnsiTheme="minorEastAsia"/>
                <w:kern w:val="0"/>
                <w:szCs w:val="21"/>
              </w:rPr>
              <w:t>风速测定</w:t>
            </w:r>
            <w:r>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根据需要在通风橱管路上安装有毒有害气体的吸附或处理装置（如</w:t>
            </w:r>
            <w:r>
              <w:rPr>
                <w:rFonts w:asciiTheme="minorEastAsia" w:eastAsiaTheme="minorEastAsia" w:hAnsiTheme="minorEastAsia"/>
                <w:kern w:val="0"/>
                <w:szCs w:val="21"/>
              </w:rPr>
              <w:t>活性炭、光催化分</w:t>
            </w:r>
            <w:r>
              <w:rPr>
                <w:rFonts w:asciiTheme="minorEastAsia" w:eastAsiaTheme="minorEastAsia" w:hAnsiTheme="minorEastAsia" w:hint="eastAsia"/>
                <w:kern w:val="0"/>
                <w:szCs w:val="21"/>
              </w:rPr>
              <w:t>解</w:t>
            </w:r>
            <w:r>
              <w:rPr>
                <w:rFonts w:asciiTheme="minorEastAsia" w:eastAsiaTheme="minorEastAsia" w:hAnsiTheme="minorEastAsia"/>
                <w:kern w:val="0"/>
                <w:szCs w:val="21"/>
              </w:rPr>
              <w:t>、水喷淋等</w:t>
            </w:r>
            <w:r>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w:t>
            </w:r>
            <w:r>
              <w:rPr>
                <w:rFonts w:asciiTheme="minorEastAsia" w:eastAsiaTheme="minorEastAsia" w:hAnsiTheme="minor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进行实验时，可调玻璃视窗开至据台面10</w:t>
            </w:r>
            <w:r>
              <w:rPr>
                <w:rFonts w:asciiTheme="minorEastAsia" w:eastAsiaTheme="minorEastAsia" w:hAnsiTheme="minorEastAsia"/>
                <w:kern w:val="0"/>
                <w:szCs w:val="21"/>
              </w:rPr>
              <w:t>-</w:t>
            </w:r>
            <w:r>
              <w:rPr>
                <w:rFonts w:asciiTheme="minorEastAsia" w:eastAsiaTheme="minorEastAsia" w:hAnsiTheme="minorEastAsia" w:hint="eastAsia"/>
                <w:kern w:val="0"/>
                <w:szCs w:val="21"/>
              </w:rPr>
              <w:t>15cm，保持</w:t>
            </w:r>
            <w:r>
              <w:rPr>
                <w:rFonts w:asciiTheme="minorEastAsia" w:eastAsiaTheme="minorEastAsia" w:hAnsiTheme="minorEastAsia"/>
                <w:kern w:val="0"/>
                <w:szCs w:val="21"/>
              </w:rPr>
              <w:t>通风效果，并保护</w:t>
            </w:r>
            <w:r>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r>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通风橱内应避免放置过多物品、器材，以免干扰空气的正常流动；通风橱内放置</w:t>
            </w:r>
            <w:r>
              <w:rPr>
                <w:rFonts w:asciiTheme="minorEastAsia" w:eastAsiaTheme="minorEastAsia" w:hAnsiTheme="minorEastAsia"/>
                <w:kern w:val="0"/>
                <w:szCs w:val="21"/>
              </w:rPr>
              <w:t>物品</w:t>
            </w:r>
            <w:r>
              <w:rPr>
                <w:rFonts w:asciiTheme="minorEastAsia" w:eastAsiaTheme="minorEastAsia" w:hAnsiTheme="minorEastAsia" w:hint="eastAsia"/>
                <w:kern w:val="0"/>
                <w:szCs w:val="21"/>
              </w:rPr>
              <w:t>应距离调节门内侧15cm左右，以免</w:t>
            </w:r>
            <w:r>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涉及</w:t>
            </w:r>
            <w:r>
              <w:rPr>
                <w:rFonts w:asciiTheme="minorEastAsia" w:eastAsiaTheme="minorEastAsia" w:hAnsiTheme="minorEastAsia"/>
                <w:kern w:val="0"/>
                <w:szCs w:val="21"/>
              </w:rPr>
              <w:t>易燃易爆有机试剂的通风</w:t>
            </w:r>
            <w:r>
              <w:rPr>
                <w:rFonts w:asciiTheme="minorEastAsia" w:eastAsiaTheme="minorEastAsia" w:hAnsiTheme="minorEastAsia" w:hint="eastAsia"/>
                <w:kern w:val="0"/>
                <w:szCs w:val="21"/>
              </w:rPr>
              <w:t>橱</w:t>
            </w:r>
            <w:r>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配备通风罩等的实验场所，</w:t>
            </w:r>
            <w:r>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门禁监控</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在剧毒品、病原微生物，特种设备和放射源存放点等重点</w:t>
            </w:r>
            <w:r>
              <w:rPr>
                <w:rFonts w:asciiTheme="minorEastAsia" w:eastAsiaTheme="minorEastAsia" w:hAnsiTheme="minorEastAsia"/>
                <w:szCs w:val="21"/>
              </w:rPr>
              <w:t>场所</w:t>
            </w:r>
            <w:r>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监控不留死角，图像清晰，人员出入记录可查，视频记录存储时间大于1个月</w:t>
            </w:r>
            <w:r>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实验室采用门禁系统</w:t>
            </w:r>
            <w:r>
              <w:rPr>
                <w:rFonts w:asciiTheme="minorEastAsia" w:eastAsiaTheme="minorEastAsia" w:hAnsiTheme="minorEastAsia" w:hint="eastAsia"/>
                <w:szCs w:val="21"/>
              </w:rPr>
              <w:t>的</w:t>
            </w:r>
            <w:r>
              <w:rPr>
                <w:rFonts w:asciiTheme="minorEastAsia" w:eastAsiaTheme="minorEastAsia" w:hAnsiTheme="minorEastAsia"/>
                <w:szCs w:val="21"/>
              </w:rPr>
              <w:t>，与实验室准入制度</w:t>
            </w:r>
            <w:r>
              <w:rPr>
                <w:rFonts w:asciiTheme="minorEastAsia" w:eastAsiaTheme="minorEastAsia" w:hAnsiTheme="minorEastAsia" w:hint="eastAsia"/>
                <w:szCs w:val="21"/>
              </w:rPr>
              <w:t>相</w:t>
            </w:r>
            <w:r>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停电时</w:t>
            </w:r>
            <w:r>
              <w:rPr>
                <w:rFonts w:asciiTheme="minorEastAsia" w:eastAsiaTheme="minorEastAsia" w:hAnsiTheme="minorEastAsia" w:hint="eastAsia"/>
                <w:szCs w:val="21"/>
              </w:rPr>
              <w:t>，电子</w:t>
            </w:r>
            <w:r>
              <w:rPr>
                <w:rFonts w:asciiTheme="minorEastAsia" w:eastAsiaTheme="minorEastAsia" w:hAnsiTheme="minorEastAsia"/>
                <w:szCs w:val="21"/>
              </w:rPr>
              <w:t>门禁系统</w:t>
            </w:r>
            <w:r>
              <w:rPr>
                <w:rFonts w:asciiTheme="minorEastAsia" w:eastAsiaTheme="minorEastAsia" w:hAnsiTheme="minorEastAsia" w:hint="eastAsia"/>
                <w:szCs w:val="21"/>
              </w:rPr>
              <w:t>应</w:t>
            </w:r>
            <w:r>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实验室防爆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防爆实验室需符合防爆设计要求，安装防爆开关、防爆灯等，安装必要</w:t>
            </w:r>
            <w:r>
              <w:rPr>
                <w:rFonts w:asciiTheme="minorEastAsia" w:eastAsiaTheme="minorEastAsia" w:hAnsiTheme="minorEastAsia"/>
                <w:szCs w:val="21"/>
              </w:rPr>
              <w:t>的</w:t>
            </w:r>
            <w:r>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对于产生可燃气体或</w:t>
            </w:r>
            <w:proofErr w:type="gramStart"/>
            <w:r>
              <w:rPr>
                <w:rFonts w:asciiTheme="minorEastAsia" w:eastAsiaTheme="minorEastAsia" w:hAnsiTheme="minorEastAsia" w:hint="eastAsia"/>
                <w:szCs w:val="21"/>
              </w:rPr>
              <w:t>蒸气</w:t>
            </w:r>
            <w:proofErr w:type="gramEnd"/>
            <w:r>
              <w:rPr>
                <w:rFonts w:asciiTheme="minorEastAsia" w:eastAsiaTheme="minorEastAsia" w:hAnsiTheme="minorEastAsia" w:hint="eastAsia"/>
                <w:szCs w:val="21"/>
              </w:rPr>
              <w:t>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对于有爆炸危险性的仪器设备，应使用合适的安全罩防护。</w:t>
            </w:r>
            <w:r>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基础</w:t>
            </w:r>
            <w:r>
              <w:rPr>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7.1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用电基础安全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w:t>
            </w:r>
            <w:proofErr w:type="gramStart"/>
            <w:r>
              <w:rPr>
                <w:kern w:val="0"/>
                <w:szCs w:val="21"/>
              </w:rPr>
              <w:t>须固定</w:t>
            </w:r>
            <w:proofErr w:type="gramEnd"/>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用电</w:t>
            </w:r>
            <w:r>
              <w:rPr>
                <w:bCs/>
                <w:kern w:val="0"/>
                <w:szCs w:val="21"/>
              </w:rPr>
              <w:t>功率匹配</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不</w:t>
            </w:r>
            <w:proofErr w:type="gramEnd"/>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配电柜</w:t>
            </w:r>
            <w:r>
              <w:rPr>
                <w:kern w:val="0"/>
                <w:szCs w:val="21"/>
              </w:rPr>
              <w:t>/</w:t>
            </w:r>
            <w:proofErr w:type="gramStart"/>
            <w:r>
              <w:rPr>
                <w:kern w:val="0"/>
                <w:szCs w:val="21"/>
              </w:rPr>
              <w:t>箱无物品</w:t>
            </w:r>
            <w:proofErr w:type="gramEnd"/>
            <w:r>
              <w:rPr>
                <w:kern w:val="0"/>
                <w:szCs w:val="21"/>
              </w:rPr>
              <w:t>遮挡并便于操作</w:t>
            </w:r>
            <w:r>
              <w:rPr>
                <w:rFonts w:hint="eastAsia"/>
                <w:kern w:val="0"/>
                <w:szCs w:val="21"/>
              </w:rPr>
              <w:t>；配电箱、开关、</w:t>
            </w:r>
            <w:r>
              <w:rPr>
                <w:kern w:val="0"/>
                <w:szCs w:val="21"/>
              </w:rPr>
              <w:t>插座等周围无易燃易爆</w:t>
            </w:r>
            <w:r>
              <w:rPr>
                <w:rFonts w:hint="eastAsia"/>
                <w:kern w:val="0"/>
                <w:szCs w:val="21"/>
              </w:rPr>
              <w:t>物品</w:t>
            </w:r>
            <w:r>
              <w:rPr>
                <w:kern w:val="0"/>
                <w:szCs w:val="21"/>
              </w:rPr>
              <w:t>堆放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插座、</w:t>
            </w:r>
            <w:r>
              <w:rPr>
                <w:kern w:val="0"/>
                <w:szCs w:val="21"/>
              </w:rPr>
              <w:t>插头</w:t>
            </w:r>
            <w:r>
              <w:rPr>
                <w:rFonts w:hint="eastAsia"/>
                <w:kern w:val="0"/>
                <w:szCs w:val="21"/>
              </w:rPr>
              <w:t>、</w:t>
            </w:r>
            <w:r>
              <w:rPr>
                <w:kern w:val="0"/>
                <w:szCs w:val="21"/>
              </w:rPr>
              <w:t>接线板为</w:t>
            </w:r>
            <w:r>
              <w:rPr>
                <w:rFonts w:hint="eastAsia"/>
                <w:kern w:val="0"/>
                <w:szCs w:val="21"/>
              </w:rPr>
              <w:t>国家</w:t>
            </w:r>
            <w:r>
              <w:rPr>
                <w:kern w:val="0"/>
                <w:szCs w:val="21"/>
              </w:rPr>
              <w:t>质量认证的合格产品，</w:t>
            </w:r>
            <w:r>
              <w:rPr>
                <w:rFonts w:hint="eastAsia"/>
                <w:kern w:val="0"/>
                <w:szCs w:val="21"/>
              </w:rPr>
              <w:t>无</w:t>
            </w:r>
            <w:r>
              <w:rPr>
                <w:kern w:val="0"/>
                <w:szCs w:val="21"/>
              </w:rPr>
              <w:t>烧焦变形</w:t>
            </w:r>
            <w:r>
              <w:rPr>
                <w:rFonts w:hint="eastAsia"/>
                <w:kern w:val="0"/>
                <w:szCs w:val="21"/>
              </w:rPr>
              <w:t>、</w:t>
            </w:r>
            <w:r>
              <w:rPr>
                <w:kern w:val="0"/>
                <w:szCs w:val="21"/>
              </w:rPr>
              <w:t>破损现象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易</w:t>
            </w:r>
            <w:r>
              <w:rPr>
                <w:kern w:val="0"/>
                <w:szCs w:val="21"/>
              </w:rPr>
              <w:t>积水的实验</w:t>
            </w:r>
            <w:r>
              <w:rPr>
                <w:rFonts w:hint="eastAsia"/>
                <w:kern w:val="0"/>
                <w:szCs w:val="21"/>
              </w:rPr>
              <w:t>场所</w:t>
            </w:r>
            <w:r>
              <w:rPr>
                <w:kern w:val="0"/>
                <w:szCs w:val="21"/>
              </w:rPr>
              <w:t>，</w:t>
            </w:r>
            <w:r>
              <w:rPr>
                <w:rFonts w:hint="eastAsia"/>
                <w:kern w:val="0"/>
                <w:szCs w:val="21"/>
              </w:rPr>
              <w:t>取消</w:t>
            </w:r>
            <w:r>
              <w:rPr>
                <w:kern w:val="0"/>
                <w:szCs w:val="21"/>
              </w:rPr>
              <w:t>地</w:t>
            </w:r>
            <w:r>
              <w:rPr>
                <w:rFonts w:hint="eastAsia"/>
                <w:kern w:val="0"/>
                <w:szCs w:val="21"/>
              </w:rPr>
              <w:t>面</w:t>
            </w:r>
            <w:r>
              <w:rPr>
                <w:kern w:val="0"/>
                <w:szCs w:val="21"/>
              </w:rPr>
              <w:t>插</w:t>
            </w:r>
            <w:r>
              <w:rPr>
                <w:rFonts w:hint="eastAsia"/>
                <w:kern w:val="0"/>
                <w:szCs w:val="21"/>
              </w:rPr>
              <w:t>座；</w:t>
            </w:r>
            <w:r>
              <w:rPr>
                <w:kern w:val="0"/>
                <w:szCs w:val="21"/>
              </w:rPr>
              <w:t>积水时，</w:t>
            </w:r>
            <w:proofErr w:type="gramStart"/>
            <w:r>
              <w:rPr>
                <w:kern w:val="0"/>
                <w:szCs w:val="21"/>
              </w:rPr>
              <w:t>地插须断电</w:t>
            </w:r>
            <w:proofErr w:type="gramEnd"/>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w:t>
            </w:r>
            <w:r>
              <w:rPr>
                <w:rFonts w:hint="eastAsia"/>
                <w:kern w:val="0"/>
                <w:szCs w:val="21"/>
              </w:rPr>
              <w:t>切断</w:t>
            </w:r>
            <w:r>
              <w:rPr>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7.2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用水安全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水槽、</w:t>
            </w:r>
            <w:r>
              <w:rPr>
                <w:kern w:val="0"/>
                <w:szCs w:val="21"/>
              </w:rPr>
              <w:t>地漏及下水道畅通，水龙头、上下水管无破损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rsidR="00394BF6" w:rsidRDefault="00651AD6">
            <w:pPr>
              <w:widowControl/>
              <w:tabs>
                <w:tab w:val="left" w:pos="630"/>
              </w:tabs>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询问</w:t>
            </w:r>
            <w:r>
              <w:rPr>
                <w:bCs/>
                <w:kern w:val="0"/>
                <w:szCs w:val="21"/>
              </w:rPr>
              <w:t>实验人员</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7.3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个人</w:t>
            </w:r>
            <w:r>
              <w:rPr>
                <w:b/>
                <w:kern w:val="0"/>
                <w:szCs w:val="21"/>
              </w:rPr>
              <w:t>防护</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查看发放登记纪录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现场查看、询问</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操作机床等旋转设备时，</w:t>
            </w:r>
            <w:proofErr w:type="gramStart"/>
            <w:r>
              <w:rPr>
                <w:kern w:val="0"/>
                <w:szCs w:val="21"/>
              </w:rPr>
              <w:t>不</w:t>
            </w:r>
            <w:proofErr w:type="gramEnd"/>
            <w:r>
              <w:rPr>
                <w:kern w:val="0"/>
                <w:szCs w:val="21"/>
              </w:rPr>
              <w:t>穿戴长围巾、丝巾、领带等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标识</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实验纪录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穿着化学、生物类实验服或带实验手套，不得随意</w:t>
            </w:r>
            <w:proofErr w:type="gramStart"/>
            <w:r>
              <w:rPr>
                <w:rFonts w:hint="eastAsia"/>
                <w:kern w:val="0"/>
                <w:szCs w:val="21"/>
              </w:rPr>
              <w:t>出入非</w:t>
            </w:r>
            <w:proofErr w:type="gramEnd"/>
            <w:r>
              <w:rPr>
                <w:rFonts w:hint="eastAsia"/>
                <w:kern w:val="0"/>
                <w:szCs w:val="21"/>
              </w:rPr>
              <w:t>实验区（如会议室、办公室、休息室、餐厅、电梯等）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查看提醒标识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8.1.1</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一般危险化学品要向具有</w:t>
            </w:r>
            <w:proofErr w:type="gramStart"/>
            <w:r>
              <w:rPr>
                <w:rFonts w:hint="eastAsia"/>
                <w:kern w:val="0"/>
                <w:szCs w:val="21"/>
              </w:rPr>
              <w:t>危</w:t>
            </w:r>
            <w:r>
              <w:rPr>
                <w:kern w:val="0"/>
                <w:szCs w:val="21"/>
              </w:rPr>
              <w:t>化品</w:t>
            </w:r>
            <w:proofErr w:type="gramEnd"/>
            <w:r>
              <w:rPr>
                <w:kern w:val="0"/>
                <w:szCs w:val="21"/>
              </w:rPr>
              <w:t>生产经营</w:t>
            </w:r>
            <w:r>
              <w:rPr>
                <w:rFonts w:hint="eastAsia"/>
                <w:kern w:val="0"/>
                <w:szCs w:val="21"/>
              </w:rPr>
              <w:t>许可</w:t>
            </w:r>
            <w:r>
              <w:rPr>
                <w:kern w:val="0"/>
                <w:szCs w:val="21"/>
              </w:rPr>
              <w:t>资质的单位购买</w:t>
            </w:r>
          </w:p>
        </w:tc>
        <w:tc>
          <w:tcPr>
            <w:tcW w:w="3260" w:type="dxa"/>
            <w:vMerge w:val="restart"/>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查看相关供应商的行政许可资质证书复印件；</w:t>
            </w:r>
          </w:p>
          <w:p w:rsidR="00394BF6" w:rsidRDefault="00651AD6">
            <w:pPr>
              <w:spacing w:line="300" w:lineRule="exact"/>
              <w:jc w:val="left"/>
              <w:rPr>
                <w:kern w:val="0"/>
                <w:szCs w:val="21"/>
              </w:rPr>
            </w:pPr>
            <w:r>
              <w:rPr>
                <w:rFonts w:hint="eastAsia"/>
                <w:kern w:val="0"/>
                <w:szCs w:val="21"/>
              </w:rPr>
              <w:t>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8.1.2</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proofErr w:type="gramStart"/>
            <w:r>
              <w:rPr>
                <w:kern w:val="0"/>
                <w:szCs w:val="21"/>
              </w:rPr>
              <w:t>校职能</w:t>
            </w:r>
            <w:proofErr w:type="gramEnd"/>
            <w:r>
              <w:rPr>
                <w:kern w:val="0"/>
                <w:szCs w:val="21"/>
              </w:rPr>
              <w:t>部门保留资料、建立档案</w:t>
            </w:r>
            <w:r>
              <w:rPr>
                <w:rFonts w:hint="eastAsia"/>
                <w:kern w:val="0"/>
                <w:szCs w:val="21"/>
              </w:rPr>
              <w:t>。</w:t>
            </w:r>
            <w:r>
              <w:rPr>
                <w:kern w:val="0"/>
                <w:szCs w:val="21"/>
              </w:rPr>
              <w:t>不得私自从外单位获取</w:t>
            </w:r>
            <w:r>
              <w:rPr>
                <w:rFonts w:hint="eastAsia"/>
                <w:kern w:val="0"/>
                <w:szCs w:val="21"/>
              </w:rPr>
              <w:t>管控化学品</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8.1.3</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8.1.4</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rFonts w:hint="eastAsia"/>
                <w:kern w:val="0"/>
                <w:szCs w:val="21"/>
              </w:rPr>
              <w:t>购买危险化学品应有规范的验收记录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查看验收记录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8.1.5</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8.2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实验室</w:t>
            </w:r>
            <w:r>
              <w:rPr>
                <w:b/>
                <w:kern w:val="0"/>
                <w:szCs w:val="21"/>
              </w:rPr>
              <w:t>化学试剂存放</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w:t>
            </w:r>
            <w:r>
              <w:rPr>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如单个实验装置存在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8.2.6</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rFonts w:ascii="宋体" w:hAnsi="ºÚÌå" w:cs="宋体"/>
                <w:kern w:val="0"/>
                <w:szCs w:val="21"/>
              </w:rPr>
            </w:pPr>
            <w:r>
              <w:rPr>
                <w:rFonts w:ascii="宋体" w:hAnsi="ºÚÌå" w:cs="宋体" w:hint="eastAsia"/>
                <w:kern w:val="0"/>
                <w:szCs w:val="21"/>
              </w:rPr>
              <w:t>化学品包装物上应有符合规定的化学品标签；当化学品由原包装</w:t>
            </w:r>
            <w:proofErr w:type="gramStart"/>
            <w:r>
              <w:rPr>
                <w:rFonts w:ascii="宋体" w:hAnsi="ºÚÌå" w:cs="宋体" w:hint="eastAsia"/>
                <w:kern w:val="0"/>
                <w:szCs w:val="21"/>
              </w:rPr>
              <w:t>物转移</w:t>
            </w:r>
            <w:proofErr w:type="gramEnd"/>
            <w:r>
              <w:rPr>
                <w:rFonts w:ascii="宋体" w:hAnsi="ºÚÌå" w:cs="宋体" w:hint="eastAsia"/>
                <w:kern w:val="0"/>
                <w:szCs w:val="21"/>
              </w:rPr>
              <w:t>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394BF6" w:rsidRDefault="00651AD6">
            <w:pPr>
              <w:widowControl/>
              <w:spacing w:line="300" w:lineRule="exact"/>
              <w:jc w:val="left"/>
              <w:rPr>
                <w:bCs/>
                <w:strike/>
                <w:kern w:val="0"/>
                <w:szCs w:val="21"/>
              </w:rPr>
            </w:pPr>
            <w:r>
              <w:rPr>
                <w:rFonts w:hint="eastAsia"/>
                <w:bCs/>
                <w:kern w:val="0"/>
                <w:szCs w:val="21"/>
              </w:rPr>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proofErr w:type="gramStart"/>
            <w:r>
              <w:rPr>
                <w:rFonts w:hint="eastAsia"/>
                <w:bCs/>
                <w:kern w:val="0"/>
                <w:szCs w:val="21"/>
              </w:rPr>
              <w:t>查看台账与</w:t>
            </w:r>
            <w:proofErr w:type="gramEnd"/>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8.3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操作安全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是否有作业指导书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控制</w:t>
            </w:r>
            <w:r>
              <w:rPr>
                <w:kern w:val="0"/>
                <w:szCs w:val="21"/>
              </w:rPr>
              <w:t>系统工作正常</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w:t>
            </w:r>
            <w:r>
              <w:rPr>
                <w:kern w:val="0"/>
                <w:szCs w:val="21"/>
              </w:rPr>
              <w:t>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剧毒品管理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w:t>
            </w:r>
            <w:r>
              <w:rPr>
                <w:kern w:val="0"/>
                <w:szCs w:val="21"/>
              </w:rPr>
              <w:t>名分别掌管了钥匙和密码的保管人同时到场时才能开启保险柜</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8.4.2</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ascii="宋体" w:cs="宋体" w:hint="eastAsia"/>
                <w:kern w:val="0"/>
                <w:szCs w:val="21"/>
              </w:rPr>
              <w:t>应</w:t>
            </w:r>
            <w:r>
              <w:rPr>
                <w:rFonts w:hint="eastAsia"/>
                <w:kern w:val="0"/>
                <w:szCs w:val="21"/>
              </w:rPr>
              <w:t>严格</w:t>
            </w:r>
            <w:r>
              <w:rPr>
                <w:kern w:val="0"/>
                <w:szCs w:val="21"/>
              </w:rPr>
              <w:t>记录</w:t>
            </w:r>
            <w:r>
              <w:rPr>
                <w:rFonts w:ascii="宋体" w:cs="宋体" w:hint="eastAsia"/>
                <w:kern w:val="0"/>
                <w:szCs w:val="21"/>
              </w:rPr>
              <w:t>品种、规格以</w:t>
            </w:r>
            <w:r>
              <w:rPr>
                <w:rFonts w:ascii="宋体" w:cs="宋体"/>
                <w:kern w:val="0"/>
                <w:szCs w:val="21"/>
              </w:rPr>
              <w:t>及</w:t>
            </w:r>
            <w:r>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使用时有两人同时在场，且计量取用后立即放回保险柜，</w:t>
            </w:r>
            <w:r>
              <w:rPr>
                <w:rFonts w:ascii="宋体" w:cs="宋体" w:hint="eastAsia"/>
                <w:kern w:val="0"/>
                <w:szCs w:val="21"/>
              </w:rPr>
              <w:t>详细记载用途，</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r>
              <w:rPr>
                <w:rFonts w:hint="eastAsia"/>
                <w:bCs/>
                <w:kern w:val="0"/>
                <w:szCs w:val="21"/>
              </w:rPr>
              <w:t>、</w:t>
            </w:r>
            <w:r>
              <w:rPr>
                <w:bCs/>
                <w:kern w:val="0"/>
                <w:szCs w:val="21"/>
              </w:rPr>
              <w:t>领用记录本</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易制毒品分类存放、专人保管，做好领取、使用、处置记录</w:t>
            </w:r>
            <w:r>
              <w:rPr>
                <w:rFonts w:hint="eastAsia"/>
                <w:kern w:val="0"/>
                <w:szCs w:val="21"/>
              </w:rPr>
              <w:t>；</w:t>
            </w: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易制爆品分类</w:t>
            </w:r>
            <w:proofErr w:type="gramEnd"/>
            <w:r>
              <w:rPr>
                <w:kern w:val="0"/>
                <w:szCs w:val="21"/>
              </w:rPr>
              <w:t>存放、专人保管，做好领取、使用、处置记录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麻醉品和精神类药品储存于专门的保险柜中，有规范的领取、使用、</w:t>
            </w:r>
            <w:proofErr w:type="gramStart"/>
            <w:r>
              <w:rPr>
                <w:kern w:val="0"/>
                <w:szCs w:val="21"/>
              </w:rPr>
              <w:t>处置台</w:t>
            </w:r>
            <w:proofErr w:type="gramEnd"/>
            <w:r>
              <w:rPr>
                <w:kern w:val="0"/>
                <w:szCs w:val="21"/>
              </w:rPr>
              <w:t>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rsidTr="00466BED">
        <w:trPr>
          <w:trHeight w:val="369"/>
          <w:jc w:val="center"/>
        </w:trPr>
        <w:tc>
          <w:tcPr>
            <w:tcW w:w="848" w:type="dxa"/>
            <w:shd w:val="clear" w:color="auto" w:fill="A8D08D" w:themeFill="accent6" w:themeFillTint="99"/>
            <w:tcMar>
              <w:left w:w="45" w:type="dxa"/>
              <w:right w:w="45" w:type="dxa"/>
            </w:tcMar>
            <w:vAlign w:val="center"/>
          </w:tcPr>
          <w:p w:rsidR="00394BF6" w:rsidRDefault="00651AD6">
            <w:pPr>
              <w:widowControl/>
              <w:spacing w:line="300" w:lineRule="exact"/>
              <w:jc w:val="left"/>
              <w:rPr>
                <w:b/>
                <w:kern w:val="0"/>
                <w:szCs w:val="21"/>
              </w:rPr>
            </w:pPr>
            <w:r>
              <w:rPr>
                <w:b/>
                <w:kern w:val="0"/>
                <w:szCs w:val="21"/>
              </w:rPr>
              <w:t>8.6</w:t>
            </w:r>
          </w:p>
        </w:tc>
        <w:tc>
          <w:tcPr>
            <w:tcW w:w="13606" w:type="dxa"/>
            <w:gridSpan w:val="6"/>
            <w:shd w:val="clear" w:color="auto" w:fill="A8D08D" w:themeFill="accent6" w:themeFillTint="99"/>
            <w:tcMar>
              <w:left w:w="45" w:type="dxa"/>
              <w:right w:w="45" w:type="dxa"/>
            </w:tcMar>
            <w:vAlign w:val="center"/>
          </w:tcPr>
          <w:p w:rsidR="00394BF6" w:rsidRDefault="00651AD6">
            <w:pPr>
              <w:widowControl/>
              <w:spacing w:line="300" w:lineRule="exact"/>
              <w:jc w:val="left"/>
              <w:rPr>
                <w:b/>
                <w:kern w:val="0"/>
                <w:szCs w:val="21"/>
              </w:rPr>
            </w:pPr>
            <w:r>
              <w:rPr>
                <w:b/>
                <w:kern w:val="0"/>
                <w:szCs w:val="21"/>
              </w:rPr>
              <w:t>实验气体管理</w:t>
            </w:r>
          </w:p>
        </w:tc>
      </w:tr>
      <w:tr w:rsidR="00394BF6" w:rsidTr="00466BED">
        <w:trPr>
          <w:trHeight w:val="369"/>
          <w:jc w:val="center"/>
        </w:trPr>
        <w:tc>
          <w:tcPr>
            <w:tcW w:w="848"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r>
              <w:rPr>
                <w:kern w:val="0"/>
                <w:szCs w:val="21"/>
              </w:rPr>
              <w:t>8.6.1</w:t>
            </w:r>
          </w:p>
        </w:tc>
        <w:tc>
          <w:tcPr>
            <w:tcW w:w="5810"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proofErr w:type="gramStart"/>
            <w:r>
              <w:rPr>
                <w:kern w:val="0"/>
                <w:szCs w:val="21"/>
              </w:rPr>
              <w:t>钢瓶台</w:t>
            </w:r>
            <w:proofErr w:type="gramEnd"/>
            <w:r>
              <w:rPr>
                <w:kern w:val="0"/>
                <w:szCs w:val="21"/>
              </w:rPr>
              <w:t>帐</w:t>
            </w:r>
          </w:p>
        </w:tc>
        <w:tc>
          <w:tcPr>
            <w:tcW w:w="3260" w:type="dxa"/>
            <w:shd w:val="clear" w:color="auto" w:fill="A8D08D" w:themeFill="accent6" w:themeFillTint="99"/>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shd w:val="clear" w:color="auto" w:fill="A8D08D" w:themeFill="accent6" w:themeFillTint="99"/>
            <w:tcMar>
              <w:left w:w="45" w:type="dxa"/>
              <w:right w:w="45" w:type="dxa"/>
            </w:tcMar>
            <w:vAlign w:val="center"/>
          </w:tcPr>
          <w:p w:rsidR="00394BF6" w:rsidRDefault="00394BF6">
            <w:pPr>
              <w:widowControl/>
              <w:spacing w:line="300" w:lineRule="exact"/>
              <w:jc w:val="center"/>
              <w:rPr>
                <w:bCs/>
                <w:kern w:val="0"/>
                <w:szCs w:val="21"/>
              </w:rPr>
            </w:pPr>
          </w:p>
        </w:tc>
        <w:tc>
          <w:tcPr>
            <w:tcW w:w="425"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426"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3260" w:type="dxa"/>
            <w:shd w:val="clear" w:color="auto" w:fill="A8D08D" w:themeFill="accent6" w:themeFillTint="99"/>
            <w:vAlign w:val="center"/>
          </w:tcPr>
          <w:p w:rsidR="00394BF6" w:rsidRDefault="00394BF6">
            <w:pPr>
              <w:widowControl/>
              <w:spacing w:line="300" w:lineRule="exact"/>
              <w:jc w:val="left"/>
              <w:rPr>
                <w:bCs/>
                <w:kern w:val="0"/>
                <w:szCs w:val="21"/>
              </w:rPr>
            </w:pPr>
          </w:p>
        </w:tc>
      </w:tr>
      <w:tr w:rsidR="00394BF6" w:rsidTr="00466BED">
        <w:trPr>
          <w:trHeight w:val="369"/>
          <w:jc w:val="center"/>
        </w:trPr>
        <w:tc>
          <w:tcPr>
            <w:tcW w:w="848"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r>
              <w:rPr>
                <w:kern w:val="0"/>
                <w:szCs w:val="21"/>
              </w:rPr>
              <w:t>8.6.2</w:t>
            </w:r>
          </w:p>
        </w:tc>
        <w:tc>
          <w:tcPr>
            <w:tcW w:w="5810"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8D08D" w:themeFill="accent6" w:themeFillTint="99"/>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425" w:type="dxa"/>
            <w:shd w:val="clear" w:color="auto" w:fill="A8D08D" w:themeFill="accent6" w:themeFillTint="99"/>
            <w:tcMar>
              <w:left w:w="45" w:type="dxa"/>
              <w:right w:w="45" w:type="dxa"/>
            </w:tcMar>
            <w:vAlign w:val="center"/>
          </w:tcPr>
          <w:p w:rsidR="00394BF6" w:rsidRDefault="00394BF6">
            <w:pPr>
              <w:widowControl/>
              <w:spacing w:line="300" w:lineRule="exact"/>
              <w:jc w:val="center"/>
              <w:rPr>
                <w:bCs/>
                <w:kern w:val="0"/>
                <w:szCs w:val="21"/>
              </w:rPr>
            </w:pPr>
          </w:p>
        </w:tc>
        <w:tc>
          <w:tcPr>
            <w:tcW w:w="425"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426"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3260" w:type="dxa"/>
            <w:shd w:val="clear" w:color="auto" w:fill="A8D08D" w:themeFill="accent6" w:themeFillTint="99"/>
            <w:vAlign w:val="center"/>
          </w:tcPr>
          <w:p w:rsidR="00394BF6" w:rsidRDefault="00394BF6">
            <w:pPr>
              <w:widowControl/>
              <w:spacing w:line="300" w:lineRule="exact"/>
              <w:jc w:val="left"/>
              <w:rPr>
                <w:bCs/>
                <w:kern w:val="0"/>
                <w:szCs w:val="21"/>
              </w:rPr>
            </w:pPr>
          </w:p>
        </w:tc>
      </w:tr>
      <w:tr w:rsidR="00394BF6" w:rsidTr="00466BED">
        <w:trPr>
          <w:trHeight w:val="369"/>
          <w:jc w:val="center"/>
        </w:trPr>
        <w:tc>
          <w:tcPr>
            <w:tcW w:w="848"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r>
              <w:rPr>
                <w:kern w:val="0"/>
                <w:szCs w:val="21"/>
              </w:rPr>
              <w:t>8.6.3</w:t>
            </w:r>
          </w:p>
        </w:tc>
        <w:tc>
          <w:tcPr>
            <w:tcW w:w="5810"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3260" w:type="dxa"/>
            <w:shd w:val="clear" w:color="auto" w:fill="A8D08D" w:themeFill="accent6" w:themeFillTint="99"/>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安装位置是否正确</w:t>
            </w:r>
          </w:p>
        </w:tc>
        <w:tc>
          <w:tcPr>
            <w:tcW w:w="425" w:type="dxa"/>
            <w:shd w:val="clear" w:color="auto" w:fill="A8D08D" w:themeFill="accent6" w:themeFillTint="99"/>
            <w:tcMar>
              <w:left w:w="45" w:type="dxa"/>
              <w:right w:w="45" w:type="dxa"/>
            </w:tcMar>
            <w:vAlign w:val="center"/>
          </w:tcPr>
          <w:p w:rsidR="00394BF6" w:rsidRDefault="00394BF6">
            <w:pPr>
              <w:widowControl/>
              <w:spacing w:line="300" w:lineRule="exact"/>
              <w:jc w:val="center"/>
              <w:rPr>
                <w:bCs/>
                <w:kern w:val="0"/>
                <w:szCs w:val="21"/>
              </w:rPr>
            </w:pPr>
          </w:p>
        </w:tc>
        <w:tc>
          <w:tcPr>
            <w:tcW w:w="425"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426"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3260" w:type="dxa"/>
            <w:shd w:val="clear" w:color="auto" w:fill="A8D08D" w:themeFill="accent6" w:themeFillTint="99"/>
            <w:vAlign w:val="center"/>
          </w:tcPr>
          <w:p w:rsidR="00394BF6" w:rsidRDefault="00394BF6">
            <w:pPr>
              <w:widowControl/>
              <w:spacing w:line="300" w:lineRule="exact"/>
              <w:jc w:val="left"/>
              <w:rPr>
                <w:bCs/>
                <w:kern w:val="0"/>
                <w:szCs w:val="21"/>
              </w:rPr>
            </w:pPr>
          </w:p>
        </w:tc>
      </w:tr>
      <w:tr w:rsidR="00394BF6" w:rsidTr="00466BED">
        <w:trPr>
          <w:trHeight w:val="369"/>
          <w:jc w:val="center"/>
        </w:trPr>
        <w:tc>
          <w:tcPr>
            <w:tcW w:w="848"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r>
              <w:rPr>
                <w:kern w:val="0"/>
                <w:szCs w:val="21"/>
              </w:rPr>
              <w:t>8.6.4</w:t>
            </w:r>
          </w:p>
        </w:tc>
        <w:tc>
          <w:tcPr>
            <w:tcW w:w="5810"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8D08D" w:themeFill="accent6" w:themeFillTint="99"/>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425" w:type="dxa"/>
            <w:shd w:val="clear" w:color="auto" w:fill="A8D08D" w:themeFill="accent6" w:themeFillTint="99"/>
            <w:tcMar>
              <w:left w:w="45" w:type="dxa"/>
              <w:right w:w="45" w:type="dxa"/>
            </w:tcMar>
            <w:vAlign w:val="center"/>
          </w:tcPr>
          <w:p w:rsidR="00394BF6" w:rsidRDefault="00394BF6">
            <w:pPr>
              <w:widowControl/>
              <w:spacing w:line="300" w:lineRule="exact"/>
              <w:jc w:val="center"/>
              <w:rPr>
                <w:bCs/>
                <w:kern w:val="0"/>
                <w:szCs w:val="21"/>
              </w:rPr>
            </w:pPr>
          </w:p>
        </w:tc>
        <w:tc>
          <w:tcPr>
            <w:tcW w:w="425"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426"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3260" w:type="dxa"/>
            <w:shd w:val="clear" w:color="auto" w:fill="A8D08D" w:themeFill="accent6" w:themeFillTint="99"/>
            <w:vAlign w:val="center"/>
          </w:tcPr>
          <w:p w:rsidR="00394BF6" w:rsidRDefault="00394BF6">
            <w:pPr>
              <w:widowControl/>
              <w:spacing w:line="300" w:lineRule="exact"/>
              <w:jc w:val="left"/>
              <w:rPr>
                <w:bCs/>
                <w:kern w:val="0"/>
                <w:szCs w:val="21"/>
              </w:rPr>
            </w:pPr>
          </w:p>
        </w:tc>
      </w:tr>
      <w:tr w:rsidR="00394BF6" w:rsidTr="00466BED">
        <w:trPr>
          <w:trHeight w:val="369"/>
          <w:jc w:val="center"/>
        </w:trPr>
        <w:tc>
          <w:tcPr>
            <w:tcW w:w="848"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r>
              <w:rPr>
                <w:kern w:val="0"/>
                <w:szCs w:val="21"/>
              </w:rPr>
              <w:t>8.6.5</w:t>
            </w:r>
          </w:p>
        </w:tc>
        <w:tc>
          <w:tcPr>
            <w:tcW w:w="5810"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8D08D" w:themeFill="accent6" w:themeFillTint="99"/>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w:t>
            </w:r>
          </w:p>
        </w:tc>
        <w:tc>
          <w:tcPr>
            <w:tcW w:w="425" w:type="dxa"/>
            <w:shd w:val="clear" w:color="auto" w:fill="A8D08D" w:themeFill="accent6" w:themeFillTint="99"/>
            <w:tcMar>
              <w:left w:w="45" w:type="dxa"/>
              <w:right w:w="45" w:type="dxa"/>
            </w:tcMar>
            <w:vAlign w:val="center"/>
          </w:tcPr>
          <w:p w:rsidR="00394BF6" w:rsidRDefault="00394BF6">
            <w:pPr>
              <w:widowControl/>
              <w:spacing w:line="300" w:lineRule="exact"/>
              <w:jc w:val="center"/>
              <w:rPr>
                <w:bCs/>
                <w:kern w:val="0"/>
                <w:szCs w:val="21"/>
              </w:rPr>
            </w:pPr>
          </w:p>
        </w:tc>
        <w:tc>
          <w:tcPr>
            <w:tcW w:w="425"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426"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3260" w:type="dxa"/>
            <w:shd w:val="clear" w:color="auto" w:fill="A8D08D" w:themeFill="accent6" w:themeFillTint="99"/>
            <w:vAlign w:val="center"/>
          </w:tcPr>
          <w:p w:rsidR="00394BF6" w:rsidRDefault="00394BF6">
            <w:pPr>
              <w:widowControl/>
              <w:spacing w:line="300" w:lineRule="exact"/>
              <w:jc w:val="left"/>
              <w:rPr>
                <w:bCs/>
                <w:kern w:val="0"/>
                <w:szCs w:val="21"/>
              </w:rPr>
            </w:pPr>
          </w:p>
        </w:tc>
      </w:tr>
      <w:tr w:rsidR="00394BF6" w:rsidTr="00466BED">
        <w:trPr>
          <w:trHeight w:val="369"/>
          <w:jc w:val="center"/>
        </w:trPr>
        <w:tc>
          <w:tcPr>
            <w:tcW w:w="848"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r>
              <w:rPr>
                <w:kern w:val="0"/>
                <w:szCs w:val="21"/>
              </w:rPr>
              <w:t>8.6.6</w:t>
            </w:r>
          </w:p>
        </w:tc>
        <w:tc>
          <w:tcPr>
            <w:tcW w:w="5810"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8D08D" w:themeFill="accent6" w:themeFillTint="99"/>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eastAsia="MS Mincho" w:hAnsi="MS Mincho"/>
                <w:bCs/>
                <w:kern w:val="0"/>
                <w:szCs w:val="21"/>
              </w:rPr>
              <w:t>“</w:t>
            </w:r>
            <w:r>
              <w:rPr>
                <w:bCs/>
                <w:kern w:val="0"/>
                <w:szCs w:val="21"/>
              </w:rPr>
              <w:t>满、使用中、用完</w:t>
            </w:r>
            <w:r>
              <w:rPr>
                <w:rFonts w:ascii="MS Mincho" w:eastAsia="MS Mincho" w:hAnsi="MS Mincho"/>
                <w:bCs/>
                <w:kern w:val="0"/>
                <w:szCs w:val="21"/>
              </w:rPr>
              <w:t>”</w:t>
            </w:r>
            <w:r>
              <w:rPr>
                <w:bCs/>
                <w:kern w:val="0"/>
                <w:szCs w:val="21"/>
              </w:rPr>
              <w:t>三种状态</w:t>
            </w:r>
          </w:p>
        </w:tc>
        <w:tc>
          <w:tcPr>
            <w:tcW w:w="425" w:type="dxa"/>
            <w:shd w:val="clear" w:color="auto" w:fill="A8D08D" w:themeFill="accent6" w:themeFillTint="99"/>
            <w:tcMar>
              <w:left w:w="45" w:type="dxa"/>
              <w:right w:w="45" w:type="dxa"/>
            </w:tcMar>
            <w:vAlign w:val="center"/>
          </w:tcPr>
          <w:p w:rsidR="00394BF6" w:rsidRDefault="00394BF6">
            <w:pPr>
              <w:widowControl/>
              <w:spacing w:line="300" w:lineRule="exact"/>
              <w:jc w:val="center"/>
              <w:rPr>
                <w:bCs/>
                <w:kern w:val="0"/>
                <w:szCs w:val="21"/>
              </w:rPr>
            </w:pPr>
          </w:p>
        </w:tc>
        <w:tc>
          <w:tcPr>
            <w:tcW w:w="425"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426"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3260" w:type="dxa"/>
            <w:shd w:val="clear" w:color="auto" w:fill="A8D08D" w:themeFill="accent6" w:themeFillTint="99"/>
            <w:vAlign w:val="center"/>
          </w:tcPr>
          <w:p w:rsidR="00394BF6" w:rsidRDefault="00394BF6">
            <w:pPr>
              <w:widowControl/>
              <w:spacing w:line="300" w:lineRule="exact"/>
              <w:jc w:val="left"/>
              <w:rPr>
                <w:bCs/>
                <w:kern w:val="0"/>
                <w:szCs w:val="21"/>
              </w:rPr>
            </w:pPr>
          </w:p>
        </w:tc>
      </w:tr>
      <w:tr w:rsidR="00394BF6" w:rsidTr="00466BED">
        <w:trPr>
          <w:trHeight w:val="369"/>
          <w:jc w:val="center"/>
        </w:trPr>
        <w:tc>
          <w:tcPr>
            <w:tcW w:w="848"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r>
              <w:rPr>
                <w:kern w:val="0"/>
                <w:szCs w:val="21"/>
              </w:rPr>
              <w:t>8.6.7</w:t>
            </w:r>
          </w:p>
        </w:tc>
        <w:tc>
          <w:tcPr>
            <w:tcW w:w="5810"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r>
              <w:rPr>
                <w:kern w:val="0"/>
                <w:szCs w:val="21"/>
              </w:rPr>
              <w:t>可燃性气体与氧气等助燃气体不混放</w:t>
            </w:r>
          </w:p>
        </w:tc>
        <w:tc>
          <w:tcPr>
            <w:tcW w:w="3260" w:type="dxa"/>
            <w:shd w:val="clear" w:color="auto" w:fill="A8D08D" w:themeFill="accent6" w:themeFillTint="99"/>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shd w:val="clear" w:color="auto" w:fill="A8D08D" w:themeFill="accent6" w:themeFillTint="99"/>
            <w:tcMar>
              <w:left w:w="45" w:type="dxa"/>
              <w:right w:w="45" w:type="dxa"/>
            </w:tcMar>
            <w:vAlign w:val="center"/>
          </w:tcPr>
          <w:p w:rsidR="00394BF6" w:rsidRDefault="00394BF6">
            <w:pPr>
              <w:widowControl/>
              <w:spacing w:line="300" w:lineRule="exact"/>
              <w:jc w:val="center"/>
              <w:rPr>
                <w:bCs/>
                <w:kern w:val="0"/>
                <w:szCs w:val="21"/>
              </w:rPr>
            </w:pPr>
          </w:p>
        </w:tc>
        <w:tc>
          <w:tcPr>
            <w:tcW w:w="425"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426"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3260" w:type="dxa"/>
            <w:shd w:val="clear" w:color="auto" w:fill="A8D08D" w:themeFill="accent6" w:themeFillTint="99"/>
            <w:vAlign w:val="center"/>
          </w:tcPr>
          <w:p w:rsidR="00394BF6" w:rsidRDefault="00394BF6">
            <w:pPr>
              <w:widowControl/>
              <w:spacing w:line="300" w:lineRule="exact"/>
              <w:jc w:val="left"/>
              <w:rPr>
                <w:bCs/>
                <w:kern w:val="0"/>
                <w:szCs w:val="21"/>
              </w:rPr>
            </w:pPr>
          </w:p>
        </w:tc>
      </w:tr>
      <w:tr w:rsidR="00394BF6" w:rsidTr="00466BED">
        <w:trPr>
          <w:trHeight w:val="369"/>
          <w:jc w:val="center"/>
        </w:trPr>
        <w:tc>
          <w:tcPr>
            <w:tcW w:w="848"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r>
              <w:rPr>
                <w:kern w:val="0"/>
                <w:szCs w:val="21"/>
              </w:rPr>
              <w:t>8.6.8</w:t>
            </w:r>
          </w:p>
        </w:tc>
        <w:tc>
          <w:tcPr>
            <w:tcW w:w="5810"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8D08D" w:themeFill="accent6" w:themeFillTint="99"/>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425" w:type="dxa"/>
            <w:shd w:val="clear" w:color="auto" w:fill="A8D08D" w:themeFill="accent6" w:themeFillTint="99"/>
            <w:tcMar>
              <w:left w:w="45" w:type="dxa"/>
              <w:right w:w="45" w:type="dxa"/>
            </w:tcMar>
            <w:vAlign w:val="center"/>
          </w:tcPr>
          <w:p w:rsidR="00394BF6" w:rsidRDefault="00394BF6">
            <w:pPr>
              <w:widowControl/>
              <w:spacing w:line="300" w:lineRule="exact"/>
              <w:jc w:val="center"/>
              <w:rPr>
                <w:bCs/>
                <w:kern w:val="0"/>
                <w:szCs w:val="21"/>
              </w:rPr>
            </w:pPr>
          </w:p>
        </w:tc>
        <w:tc>
          <w:tcPr>
            <w:tcW w:w="425"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426"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3260" w:type="dxa"/>
            <w:shd w:val="clear" w:color="auto" w:fill="A8D08D" w:themeFill="accent6" w:themeFillTint="99"/>
            <w:vAlign w:val="center"/>
          </w:tcPr>
          <w:p w:rsidR="00394BF6" w:rsidRDefault="00394BF6">
            <w:pPr>
              <w:widowControl/>
              <w:spacing w:line="300" w:lineRule="exact"/>
              <w:jc w:val="left"/>
              <w:rPr>
                <w:bCs/>
                <w:kern w:val="0"/>
                <w:szCs w:val="21"/>
              </w:rPr>
            </w:pPr>
          </w:p>
        </w:tc>
      </w:tr>
      <w:tr w:rsidR="00394BF6" w:rsidTr="00466BED">
        <w:trPr>
          <w:trHeight w:val="369"/>
          <w:jc w:val="center"/>
        </w:trPr>
        <w:tc>
          <w:tcPr>
            <w:tcW w:w="848"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r>
              <w:rPr>
                <w:kern w:val="0"/>
                <w:szCs w:val="21"/>
              </w:rPr>
              <w:t>8.6.9</w:t>
            </w:r>
          </w:p>
        </w:tc>
        <w:tc>
          <w:tcPr>
            <w:tcW w:w="5810"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8D08D" w:themeFill="accent6" w:themeFillTint="99"/>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shd w:val="clear" w:color="auto" w:fill="A8D08D" w:themeFill="accent6" w:themeFillTint="99"/>
            <w:tcMar>
              <w:left w:w="45" w:type="dxa"/>
              <w:right w:w="45" w:type="dxa"/>
            </w:tcMar>
            <w:vAlign w:val="center"/>
          </w:tcPr>
          <w:p w:rsidR="00394BF6" w:rsidRDefault="00394BF6">
            <w:pPr>
              <w:widowControl/>
              <w:spacing w:line="300" w:lineRule="exact"/>
              <w:jc w:val="center"/>
              <w:rPr>
                <w:bCs/>
                <w:kern w:val="0"/>
                <w:szCs w:val="21"/>
              </w:rPr>
            </w:pPr>
          </w:p>
        </w:tc>
        <w:tc>
          <w:tcPr>
            <w:tcW w:w="425"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426"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3260" w:type="dxa"/>
            <w:shd w:val="clear" w:color="auto" w:fill="A8D08D" w:themeFill="accent6" w:themeFillTint="99"/>
            <w:vAlign w:val="center"/>
          </w:tcPr>
          <w:p w:rsidR="00394BF6" w:rsidRDefault="00394BF6">
            <w:pPr>
              <w:widowControl/>
              <w:spacing w:line="300" w:lineRule="exact"/>
              <w:jc w:val="left"/>
              <w:rPr>
                <w:bCs/>
                <w:kern w:val="0"/>
                <w:szCs w:val="21"/>
              </w:rPr>
            </w:pPr>
          </w:p>
        </w:tc>
      </w:tr>
      <w:tr w:rsidR="00394BF6" w:rsidTr="00466BED">
        <w:trPr>
          <w:trHeight w:val="369"/>
          <w:jc w:val="center"/>
        </w:trPr>
        <w:tc>
          <w:tcPr>
            <w:tcW w:w="848"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r>
              <w:rPr>
                <w:kern w:val="0"/>
                <w:szCs w:val="21"/>
              </w:rPr>
              <w:t>8.6.10</w:t>
            </w:r>
          </w:p>
        </w:tc>
        <w:tc>
          <w:tcPr>
            <w:tcW w:w="5810" w:type="dxa"/>
            <w:shd w:val="clear" w:color="auto" w:fill="A8D08D" w:themeFill="accent6" w:themeFillTint="99"/>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ascii="宋体" w:cs="宋体" w:hint="eastAsia"/>
                <w:kern w:val="0"/>
                <w:szCs w:val="21"/>
              </w:rPr>
              <w:t>每间实验室内存放的氧气和</w:t>
            </w:r>
            <w:proofErr w:type="gramStart"/>
            <w:r>
              <w:rPr>
                <w:rFonts w:ascii="宋体" w:cs="宋体" w:hint="eastAsia"/>
                <w:kern w:val="0"/>
                <w:szCs w:val="21"/>
              </w:rPr>
              <w:t>可</w:t>
            </w:r>
            <w:proofErr w:type="gramEnd"/>
            <w:r>
              <w:rPr>
                <w:rFonts w:ascii="宋体" w:cs="宋体" w:hint="eastAsia"/>
                <w:kern w:val="0"/>
                <w:szCs w:val="21"/>
              </w:rPr>
              <w:t>燃气体不宜超过一瓶，其他气瓶的存放，应控制在最小需求量；</w:t>
            </w:r>
            <w:r>
              <w:rPr>
                <w:kern w:val="0"/>
                <w:szCs w:val="21"/>
              </w:rPr>
              <w:t>气体钢瓶不得放在走廊、大厅等公共场所</w:t>
            </w:r>
          </w:p>
        </w:tc>
        <w:tc>
          <w:tcPr>
            <w:tcW w:w="3260" w:type="dxa"/>
            <w:shd w:val="clear" w:color="auto" w:fill="A8D08D" w:themeFill="accent6" w:themeFillTint="99"/>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shd w:val="clear" w:color="auto" w:fill="A8D08D" w:themeFill="accent6" w:themeFillTint="99"/>
            <w:tcMar>
              <w:left w:w="45" w:type="dxa"/>
              <w:right w:w="45" w:type="dxa"/>
            </w:tcMar>
            <w:vAlign w:val="center"/>
          </w:tcPr>
          <w:p w:rsidR="00394BF6" w:rsidRDefault="00394BF6">
            <w:pPr>
              <w:widowControl/>
              <w:spacing w:line="300" w:lineRule="exact"/>
              <w:jc w:val="center"/>
              <w:rPr>
                <w:bCs/>
                <w:kern w:val="0"/>
                <w:szCs w:val="21"/>
              </w:rPr>
            </w:pPr>
          </w:p>
        </w:tc>
        <w:tc>
          <w:tcPr>
            <w:tcW w:w="425"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426"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3260" w:type="dxa"/>
            <w:shd w:val="clear" w:color="auto" w:fill="A8D08D" w:themeFill="accent6" w:themeFillTint="99"/>
            <w:vAlign w:val="center"/>
          </w:tcPr>
          <w:p w:rsidR="00394BF6" w:rsidRDefault="00394BF6">
            <w:pPr>
              <w:widowControl/>
              <w:spacing w:line="300" w:lineRule="exact"/>
              <w:jc w:val="left"/>
              <w:rPr>
                <w:bCs/>
                <w:kern w:val="0"/>
                <w:szCs w:val="21"/>
              </w:rPr>
            </w:pPr>
          </w:p>
        </w:tc>
        <w:bookmarkStart w:id="0" w:name="_GoBack"/>
        <w:bookmarkEnd w:id="0"/>
      </w:tr>
      <w:tr w:rsidR="00394BF6" w:rsidTr="00466BED">
        <w:trPr>
          <w:trHeight w:val="369"/>
          <w:jc w:val="center"/>
        </w:trPr>
        <w:tc>
          <w:tcPr>
            <w:tcW w:w="848"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8.6.11</w:t>
            </w:r>
          </w:p>
        </w:tc>
        <w:tc>
          <w:tcPr>
            <w:tcW w:w="5810" w:type="dxa"/>
            <w:shd w:val="clear" w:color="auto" w:fill="A8D08D" w:themeFill="accent6" w:themeFillTint="99"/>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不能带着</w:t>
            </w:r>
            <w:proofErr w:type="gramEnd"/>
            <w:r>
              <w:rPr>
                <w:kern w:val="0"/>
                <w:szCs w:val="21"/>
              </w:rPr>
              <w:t>减压阀移动钢瓶、不得在地上滚动钢瓶</w:t>
            </w:r>
          </w:p>
        </w:tc>
        <w:tc>
          <w:tcPr>
            <w:tcW w:w="3260" w:type="dxa"/>
            <w:shd w:val="clear" w:color="auto" w:fill="A8D08D" w:themeFill="accent6" w:themeFillTint="99"/>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shd w:val="clear" w:color="auto" w:fill="A8D08D" w:themeFill="accent6" w:themeFillTint="99"/>
            <w:tcMar>
              <w:left w:w="45" w:type="dxa"/>
              <w:right w:w="45" w:type="dxa"/>
            </w:tcMar>
            <w:vAlign w:val="center"/>
          </w:tcPr>
          <w:p w:rsidR="00394BF6" w:rsidRDefault="00394BF6">
            <w:pPr>
              <w:widowControl/>
              <w:spacing w:line="300" w:lineRule="exact"/>
              <w:jc w:val="center"/>
              <w:rPr>
                <w:bCs/>
                <w:kern w:val="0"/>
                <w:szCs w:val="21"/>
              </w:rPr>
            </w:pPr>
          </w:p>
        </w:tc>
        <w:tc>
          <w:tcPr>
            <w:tcW w:w="425"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426" w:type="dxa"/>
            <w:shd w:val="clear" w:color="auto" w:fill="A8D08D" w:themeFill="accent6" w:themeFillTint="99"/>
            <w:vAlign w:val="center"/>
          </w:tcPr>
          <w:p w:rsidR="00394BF6" w:rsidRDefault="00394BF6">
            <w:pPr>
              <w:widowControl/>
              <w:spacing w:line="300" w:lineRule="exact"/>
              <w:jc w:val="center"/>
              <w:rPr>
                <w:bCs/>
                <w:kern w:val="0"/>
                <w:szCs w:val="21"/>
              </w:rPr>
            </w:pPr>
          </w:p>
        </w:tc>
        <w:tc>
          <w:tcPr>
            <w:tcW w:w="3260" w:type="dxa"/>
            <w:shd w:val="clear" w:color="auto" w:fill="A8D08D" w:themeFill="accent6" w:themeFillTint="99"/>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化学废弃物处置</w:t>
            </w:r>
            <w:r>
              <w:rPr>
                <w:rFonts w:hint="eastAsia"/>
                <w:b/>
                <w:kern w:val="0"/>
                <w:szCs w:val="21"/>
              </w:rPr>
              <w:t>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与有资质的处置单位（企业）签约处置化学废弃物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委托合同及处置单位的资质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w:t>
            </w:r>
            <w:proofErr w:type="gramStart"/>
            <w:r>
              <w:rPr>
                <w:kern w:val="0"/>
                <w:szCs w:val="21"/>
              </w:rPr>
              <w:t>送储人</w:t>
            </w:r>
            <w:proofErr w:type="gramEnd"/>
            <w:r>
              <w:rPr>
                <w:kern w:val="0"/>
                <w:szCs w:val="21"/>
              </w:rPr>
              <w:t>、日期等信息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8.8</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proofErr w:type="gramStart"/>
            <w:r>
              <w:rPr>
                <w:rFonts w:hint="eastAsia"/>
                <w:b/>
                <w:kern w:val="0"/>
                <w:szCs w:val="21"/>
              </w:rPr>
              <w:t>危化品</w:t>
            </w:r>
            <w:proofErr w:type="gramEnd"/>
            <w:r>
              <w:rPr>
                <w:rFonts w:hint="eastAsia"/>
                <w:b/>
                <w:kern w:val="0"/>
                <w:szCs w:val="21"/>
              </w:rPr>
              <w:t>仓库与</w:t>
            </w:r>
            <w:r>
              <w:rPr>
                <w:b/>
                <w:kern w:val="0"/>
                <w:szCs w:val="21"/>
              </w:rPr>
              <w:t>废弃物中转站</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8.8.1</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学校有危险品仓库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vertAlign w:val="superscript"/>
              </w:rPr>
            </w:pPr>
            <w:r>
              <w:rPr>
                <w:rFonts w:hint="eastAsia"/>
                <w:bCs/>
                <w:kern w:val="0"/>
                <w:szCs w:val="21"/>
              </w:rPr>
              <w:t>独立仓库</w:t>
            </w:r>
            <w:r>
              <w:rPr>
                <w:bCs/>
                <w:kern w:val="0"/>
                <w:szCs w:val="21"/>
              </w:rPr>
              <w:t>一般小于</w:t>
            </w:r>
            <w:r>
              <w:rPr>
                <w:rFonts w:hint="eastAsia"/>
                <w:bCs/>
                <w:kern w:val="0"/>
                <w:szCs w:val="21"/>
              </w:rPr>
              <w:t>550m</w:t>
            </w:r>
            <w:r>
              <w:rPr>
                <w:rFonts w:hint="eastAsia"/>
                <w:bCs/>
                <w:kern w:val="0"/>
                <w:szCs w:val="21"/>
                <w:vertAlign w:val="superscript"/>
              </w:rPr>
              <w:t>2</w:t>
            </w:r>
          </w:p>
          <w:p w:rsidR="00394BF6" w:rsidRDefault="00651AD6">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w:t>
            </w:r>
            <w:proofErr w:type="gramStart"/>
            <w:r>
              <w:rPr>
                <w:rFonts w:hint="eastAsia"/>
                <w:bCs/>
                <w:kern w:val="0"/>
                <w:szCs w:val="21"/>
              </w:rPr>
              <w:t>含</w:t>
            </w:r>
            <w:r>
              <w:rPr>
                <w:bCs/>
                <w:kern w:val="0"/>
                <w:szCs w:val="21"/>
              </w:rPr>
              <w:t>技防</w:t>
            </w:r>
            <w:proofErr w:type="gramEnd"/>
            <w:r>
              <w:rPr>
                <w:rFonts w:hint="eastAsia"/>
                <w:bCs/>
                <w:kern w:val="0"/>
                <w:szCs w:val="21"/>
              </w:rPr>
              <w:t>等）</w:t>
            </w:r>
            <w:r>
              <w:rPr>
                <w:bCs/>
                <w:kern w:val="0"/>
                <w:szCs w:val="21"/>
              </w:rPr>
              <w:t>完备</w:t>
            </w:r>
            <w:r>
              <w:rPr>
                <w:rFonts w:hint="eastAsia"/>
                <w:bCs/>
                <w:kern w:val="0"/>
                <w:szCs w:val="21"/>
              </w:rPr>
              <w:t>，不准设立于</w:t>
            </w:r>
            <w:r>
              <w:rPr>
                <w:bCs/>
                <w:kern w:val="0"/>
                <w:szCs w:val="21"/>
              </w:rPr>
              <w:t>地下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8.8.2</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消防</w:t>
            </w:r>
            <w:r>
              <w:rPr>
                <w:szCs w:val="21"/>
              </w:rPr>
              <w:t>设施符合国家相关规定，正确配备灭火器材（如灭火器、灭火</w:t>
            </w:r>
            <w:proofErr w:type="gramStart"/>
            <w:r>
              <w:rPr>
                <w:szCs w:val="21"/>
              </w:rPr>
              <w:t>毯</w:t>
            </w:r>
            <w:proofErr w:type="gramEnd"/>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8.8.3</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8.8.4</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8.8.5</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proofErr w:type="gramStart"/>
            <w:r>
              <w:rPr>
                <w:rFonts w:hint="eastAsia"/>
                <w:bCs/>
                <w:kern w:val="0"/>
                <w:szCs w:val="21"/>
              </w:rPr>
              <w:t>查看</w:t>
            </w:r>
            <w:r>
              <w:rPr>
                <w:bCs/>
                <w:kern w:val="0"/>
                <w:szCs w:val="21"/>
              </w:rPr>
              <w:t>台</w:t>
            </w:r>
            <w:proofErr w:type="gramEnd"/>
            <w:r>
              <w:rPr>
                <w:bCs/>
                <w:kern w:val="0"/>
                <w:szCs w:val="21"/>
              </w:rPr>
              <w:t>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8.9</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其它化学安全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是否</w:t>
            </w:r>
            <w:r>
              <w:rPr>
                <w:bCs/>
                <w:kern w:val="0"/>
                <w:szCs w:val="21"/>
              </w:rPr>
              <w:t>有、是否都使用了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信息</w:t>
            </w:r>
            <w:r>
              <w:rPr>
                <w:bCs/>
                <w:kern w:val="0"/>
                <w:szCs w:val="21"/>
              </w:rPr>
              <w:t>不缺项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原</w:t>
            </w:r>
            <w:proofErr w:type="gramStart"/>
            <w:r>
              <w:rPr>
                <w:kern w:val="0"/>
                <w:szCs w:val="21"/>
              </w:rPr>
              <w:t>标签纸未撕去</w:t>
            </w:r>
            <w:proofErr w:type="gramEnd"/>
            <w:r>
              <w:rPr>
                <w:kern w:val="0"/>
                <w:szCs w:val="21"/>
              </w:rPr>
              <w:t>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proofErr w:type="gramStart"/>
            <w:r>
              <w:rPr>
                <w:bCs/>
                <w:kern w:val="0"/>
                <w:szCs w:val="21"/>
              </w:rPr>
              <w:t>装其它</w:t>
            </w:r>
            <w:proofErr w:type="gramEnd"/>
            <w:r>
              <w:rPr>
                <w:bCs/>
                <w:kern w:val="0"/>
                <w:szCs w:val="21"/>
              </w:rPr>
              <w:t>试剂</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用于浸泡玻璃器皿的酸缸、</w:t>
            </w:r>
            <w:proofErr w:type="gramStart"/>
            <w:r>
              <w:rPr>
                <w:kern w:val="0"/>
                <w:szCs w:val="21"/>
              </w:rPr>
              <w:t>碱缸等</w:t>
            </w:r>
            <w:proofErr w:type="gramEnd"/>
            <w:r>
              <w:rPr>
                <w:kern w:val="0"/>
                <w:szCs w:val="21"/>
              </w:rPr>
              <w:t>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化学</w:t>
            </w:r>
            <w:r>
              <w:rPr>
                <w:szCs w:val="21"/>
              </w:rPr>
              <w:t>实验室内有吸液（油）棉</w:t>
            </w:r>
            <w:r>
              <w:rPr>
                <w:szCs w:val="21"/>
              </w:rPr>
              <w:t>/</w:t>
            </w:r>
            <w:r>
              <w:rPr>
                <w:szCs w:val="21"/>
              </w:rPr>
              <w:t>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查看资格证书、</w:t>
            </w:r>
            <w:r>
              <w:rPr>
                <w:bCs/>
                <w:kern w:val="0"/>
                <w:szCs w:val="21"/>
              </w:rPr>
              <w:t>报备资料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开展低</w:t>
            </w:r>
            <w:proofErr w:type="gramEnd"/>
            <w:r>
              <w:rPr>
                <w:kern w:val="0"/>
                <w:szCs w:val="21"/>
              </w:rPr>
              <w:t>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r>
              <w:rPr>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现场及资料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准入</w:t>
            </w:r>
            <w:r>
              <w:rPr>
                <w:bCs/>
                <w:kern w:val="0"/>
                <w:szCs w:val="21"/>
              </w:rPr>
              <w:t>制度上</w:t>
            </w:r>
            <w:r>
              <w:rPr>
                <w:rFonts w:hint="eastAsia"/>
                <w:bCs/>
                <w:kern w:val="0"/>
                <w:szCs w:val="21"/>
              </w:rPr>
              <w:t>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查看种类</w:t>
            </w:r>
            <w:r>
              <w:rPr>
                <w:bCs/>
                <w:kern w:val="0"/>
                <w:szCs w:val="21"/>
              </w:rPr>
              <w:t>、记录</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三级</w:t>
            </w:r>
            <w:r>
              <w:rPr>
                <w:rFonts w:hint="eastAsia"/>
                <w:bCs/>
                <w:kern w:val="0"/>
                <w:szCs w:val="21"/>
              </w:rPr>
              <w:t>/</w:t>
            </w:r>
            <w:r>
              <w:rPr>
                <w:rFonts w:hint="eastAsia"/>
                <w:bCs/>
                <w:kern w:val="0"/>
                <w:szCs w:val="21"/>
              </w:rPr>
              <w:t>四级实验室配备应急供电及应急淋浴设施</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安装了防虫纱窗、</w:t>
            </w:r>
            <w:proofErr w:type="gramStart"/>
            <w:r>
              <w:rPr>
                <w:kern w:val="0"/>
                <w:szCs w:val="21"/>
              </w:rPr>
              <w:t>入口处有挡鼠</w:t>
            </w:r>
            <w:proofErr w:type="gramEnd"/>
            <w:r>
              <w:rPr>
                <w:kern w:val="0"/>
                <w:szCs w:val="21"/>
              </w:rPr>
              <w:t>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病原微生物采购与保管</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采购高</w:t>
            </w:r>
            <w:proofErr w:type="gramEnd"/>
            <w:r>
              <w:rPr>
                <w:kern w:val="0"/>
                <w:szCs w:val="21"/>
              </w:rPr>
              <w:t>致病性病原微生物菌</w:t>
            </w:r>
            <w:r>
              <w:rPr>
                <w:rFonts w:hint="eastAsia"/>
                <w:kern w:val="0"/>
                <w:szCs w:val="21"/>
              </w:rPr>
              <w:t>（毒）种，须按照学校流程</w:t>
            </w:r>
            <w:r>
              <w:rPr>
                <w:kern w:val="0"/>
                <w:szCs w:val="21"/>
              </w:rPr>
              <w:t>审批，</w:t>
            </w:r>
            <w:proofErr w:type="gramStart"/>
            <w:r>
              <w:rPr>
                <w:kern w:val="0"/>
                <w:szCs w:val="21"/>
              </w:rPr>
              <w:t>报行业</w:t>
            </w:r>
            <w:proofErr w:type="gramEnd"/>
            <w:r>
              <w:rPr>
                <w:kern w:val="0"/>
                <w:szCs w:val="21"/>
              </w:rPr>
              <w:t>主管部门批准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有相关规定、</w:t>
            </w:r>
            <w:proofErr w:type="gramStart"/>
            <w:r>
              <w:rPr>
                <w:kern w:val="0"/>
                <w:szCs w:val="21"/>
              </w:rPr>
              <w:t>查记录</w:t>
            </w:r>
            <w:proofErr w:type="gramEnd"/>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记录</w:t>
            </w:r>
            <w:r>
              <w:rPr>
                <w:rFonts w:hint="eastAsia"/>
                <w:kern w:val="0"/>
                <w:szCs w:val="21"/>
              </w:rPr>
              <w:t>、</w:t>
            </w:r>
            <w:r>
              <w:rPr>
                <w:kern w:val="0"/>
                <w:szCs w:val="21"/>
              </w:rPr>
              <w:t>查</w:t>
            </w:r>
            <w:r>
              <w:rPr>
                <w:rFonts w:hint="eastAsia"/>
                <w:kern w:val="0"/>
                <w:szCs w:val="21"/>
              </w:rPr>
              <w:t>实物</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高致病性病原微生物的转移和运输需按规定</w:t>
            </w:r>
            <w:proofErr w:type="gramStart"/>
            <w:r>
              <w:rPr>
                <w:rFonts w:hint="eastAsia"/>
                <w:kern w:val="0"/>
                <w:szCs w:val="21"/>
              </w:rPr>
              <w:t>报卫生</w:t>
            </w:r>
            <w:proofErr w:type="gramEnd"/>
            <w:r>
              <w:rPr>
                <w:rFonts w:hint="eastAsia"/>
                <w:kern w:val="0"/>
                <w:szCs w:val="21"/>
              </w:rPr>
              <w:t>和农业主管部门批准，并按相应的运输包装要求包装后转移和运输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w:t>
            </w:r>
            <w:r>
              <w:rPr>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w:t>
            </w:r>
            <w:proofErr w:type="gramStart"/>
            <w:r>
              <w:rPr>
                <w:kern w:val="0"/>
                <w:szCs w:val="21"/>
              </w:rPr>
              <w:t>锁管理</w:t>
            </w:r>
            <w:proofErr w:type="gramEnd"/>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w:t>
            </w:r>
            <w:r>
              <w:rPr>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有病原微生物菌</w:t>
            </w:r>
            <w:r>
              <w:rPr>
                <w:rFonts w:hint="eastAsia"/>
                <w:kern w:val="0"/>
                <w:szCs w:val="21"/>
              </w:rPr>
              <w:t>（毒）种</w:t>
            </w:r>
            <w:r>
              <w:rPr>
                <w:kern w:val="0"/>
                <w:szCs w:val="21"/>
              </w:rPr>
              <w:t>保存、实验使用、销毁的记录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自行</w:t>
            </w:r>
            <w:proofErr w:type="gramStart"/>
            <w:r>
              <w:rPr>
                <w:kern w:val="0"/>
                <w:szCs w:val="21"/>
              </w:rPr>
              <w:t>分离高</w:t>
            </w:r>
            <w:proofErr w:type="gramEnd"/>
            <w:r>
              <w:rPr>
                <w:kern w:val="0"/>
                <w:szCs w:val="21"/>
              </w:rPr>
              <w:t>致病性病原微生物，</w:t>
            </w:r>
            <w:r>
              <w:rPr>
                <w:rFonts w:hint="eastAsia"/>
                <w:kern w:val="0"/>
                <w:szCs w:val="21"/>
              </w:rPr>
              <w:t>必须在</w:t>
            </w:r>
            <w:r>
              <w:rPr>
                <w:kern w:val="0"/>
                <w:szCs w:val="21"/>
              </w:rPr>
              <w:t>相应安全等级的实验室</w:t>
            </w:r>
            <w:r>
              <w:rPr>
                <w:rFonts w:hint="eastAsia"/>
                <w:kern w:val="0"/>
                <w:szCs w:val="21"/>
              </w:rPr>
              <w:t>中</w:t>
            </w:r>
            <w:r>
              <w:rPr>
                <w:kern w:val="0"/>
                <w:szCs w:val="21"/>
              </w:rPr>
              <w:t>进行</w:t>
            </w:r>
            <w:r>
              <w:rPr>
                <w:rFonts w:hint="eastAsia"/>
                <w:kern w:val="0"/>
                <w:szCs w:val="21"/>
              </w:rPr>
              <w:t>，并</w:t>
            </w:r>
            <w:proofErr w:type="gramStart"/>
            <w:r>
              <w:rPr>
                <w:kern w:val="0"/>
                <w:szCs w:val="21"/>
              </w:rPr>
              <w:t>报卫生</w:t>
            </w:r>
            <w:proofErr w:type="gramEnd"/>
            <w:r>
              <w:rPr>
                <w:kern w:val="0"/>
                <w:szCs w:val="21"/>
              </w:rPr>
              <w:t>或农业主管部门批准，方可保</w:t>
            </w:r>
            <w:r>
              <w:rPr>
                <w:rFonts w:hint="eastAsia"/>
                <w:kern w:val="0"/>
                <w:szCs w:val="21"/>
              </w:rPr>
              <w:t>存和开展</w:t>
            </w:r>
            <w:r>
              <w:rPr>
                <w:kern w:val="0"/>
                <w:szCs w:val="21"/>
              </w:rPr>
              <w:t>实验，资料报学校备案</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现场、</w:t>
            </w:r>
            <w:r>
              <w:rPr>
                <w:rFonts w:hint="eastAsia"/>
                <w:kern w:val="0"/>
                <w:szCs w:val="21"/>
              </w:rPr>
              <w:t>查</w:t>
            </w:r>
            <w:r>
              <w:rPr>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人员</w:t>
            </w:r>
            <w:r>
              <w:rPr>
                <w:b/>
                <w:kern w:val="0"/>
                <w:szCs w:val="21"/>
              </w:rPr>
              <w:t>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开展病原微生物相关实验和研究的人员经过专业培训，考核合格</w:t>
            </w:r>
            <w:r>
              <w:rPr>
                <w:rFonts w:hint="eastAsia"/>
                <w:kern w:val="0"/>
                <w:szCs w:val="21"/>
              </w:rPr>
              <w:t>，</w:t>
            </w:r>
            <w:r>
              <w:rPr>
                <w:kern w:val="0"/>
                <w:szCs w:val="21"/>
              </w:rPr>
              <w:t>并取得</w:t>
            </w:r>
            <w:r>
              <w:rPr>
                <w:rFonts w:hint="eastAsia"/>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有上岗前体检和离岗体检，长期工作有定期体检</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人员</w:t>
            </w:r>
            <w:r>
              <w:rPr>
                <w:szCs w:val="21"/>
              </w:rPr>
              <w:t>进出生物安全实验室，需登记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出现感冒</w:t>
            </w:r>
            <w:r>
              <w:rPr>
                <w:szCs w:val="21"/>
              </w:rPr>
              <w:t>发热</w:t>
            </w:r>
            <w:r>
              <w:rPr>
                <w:rFonts w:hint="eastAsia"/>
                <w:szCs w:val="21"/>
              </w:rPr>
              <w:t>等</w:t>
            </w:r>
            <w:r>
              <w:rPr>
                <w:szCs w:val="21"/>
              </w:rPr>
              <w:t>症状时，不得进行病原微生物实验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检查、询问学生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生物</w:t>
            </w:r>
            <w:r>
              <w:rPr>
                <w:szCs w:val="21"/>
              </w:rPr>
              <w:t>安全实验室不准带入食品、饮品（</w:t>
            </w:r>
            <w:r>
              <w:rPr>
                <w:rFonts w:hint="eastAsia"/>
                <w:szCs w:val="21"/>
              </w:rPr>
              <w:t>水</w:t>
            </w:r>
            <w:r>
              <w:rPr>
                <w:szCs w:val="21"/>
              </w:rPr>
              <w:t>）</w:t>
            </w:r>
            <w:r>
              <w:rPr>
                <w:rFonts w:hint="eastAsia"/>
                <w:szCs w:val="21"/>
              </w:rPr>
              <w:t>、</w:t>
            </w:r>
            <w:r>
              <w:rPr>
                <w:szCs w:val="21"/>
              </w:rPr>
              <w:t>化妆品、处理隐形眼镜</w:t>
            </w:r>
            <w:r>
              <w:rPr>
                <w:rFonts w:hint="eastAsia"/>
                <w:szCs w:val="21"/>
              </w:rPr>
              <w:t>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操作与管理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制定并采用生物安全手册，方便</w:t>
            </w:r>
            <w:r>
              <w:rPr>
                <w:kern w:val="0"/>
                <w:szCs w:val="21"/>
              </w:rPr>
              <w:t>取阅；</w:t>
            </w:r>
            <w:r>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合适</w:t>
            </w:r>
            <w:r>
              <w:rPr>
                <w:kern w:val="0"/>
                <w:szCs w:val="21"/>
              </w:rPr>
              <w:t>的个人防护措施</w:t>
            </w:r>
            <w:r>
              <w:rPr>
                <w:rFonts w:hint="eastAsia"/>
                <w:kern w:val="0"/>
                <w:szCs w:val="21"/>
              </w:rPr>
              <w:t>，</w:t>
            </w:r>
            <w:r>
              <w:rPr>
                <w:kern w:val="0"/>
                <w:szCs w:val="21"/>
              </w:rPr>
              <w:t>并规范执行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禁止戴防护手套操作设施设备（包括仪器、冰箱、电脑、电话、开关、门窗</w:t>
            </w:r>
            <w:r>
              <w:rPr>
                <w:rFonts w:hint="eastAsia"/>
                <w:szCs w:val="21"/>
              </w:rPr>
              <w:t>、</w:t>
            </w:r>
            <w:r>
              <w:rPr>
                <w:szCs w:val="21"/>
              </w:rPr>
              <w:t>柜子抽屉等）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现场，办公室</w:t>
            </w:r>
            <w:r>
              <w:rPr>
                <w:rFonts w:hint="eastAsia"/>
                <w:bCs/>
                <w:kern w:val="0"/>
                <w:szCs w:val="21"/>
              </w:rPr>
              <w:t>等</w:t>
            </w:r>
            <w:r>
              <w:rPr>
                <w:bCs/>
                <w:kern w:val="0"/>
                <w:szCs w:val="21"/>
              </w:rPr>
              <w:t>区域不准带防护手套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做危险性</w:t>
            </w:r>
            <w:r>
              <w:rPr>
                <w:szCs w:val="21"/>
              </w:rPr>
              <w:t>生物实验</w:t>
            </w:r>
            <w:r>
              <w:rPr>
                <w:rFonts w:hint="eastAsia"/>
                <w:szCs w:val="21"/>
              </w:rPr>
              <w:t>时</w:t>
            </w:r>
            <w:r>
              <w:rPr>
                <w:szCs w:val="21"/>
              </w:rPr>
              <w:t>，不接打电话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动物安全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饲养实验动物的场所应有资质证书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实验动物需从具有资质的单位购买，有合格证明</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用于解剖的实验动物须经过检验检疫合格</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查看采购检验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解剖实验动物时，必须做好个人</w:t>
            </w:r>
            <w:r>
              <w:rPr>
                <w:rFonts w:hint="eastAsia"/>
                <w:szCs w:val="21"/>
              </w:rPr>
              <w:t>安全</w:t>
            </w:r>
            <w:r>
              <w:rPr>
                <w:szCs w:val="21"/>
              </w:rPr>
              <w:t>防护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生物实验废物处置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学校有生化固废中转站，符合相关规定</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有无统一标签，使用</w:t>
            </w:r>
            <w:r>
              <w:rPr>
                <w:rFonts w:hint="eastAsia"/>
                <w:bCs/>
                <w:kern w:val="0"/>
                <w:szCs w:val="21"/>
              </w:rPr>
              <w:t>时填写</w:t>
            </w:r>
            <w:r>
              <w:rPr>
                <w:bCs/>
                <w:kern w:val="0"/>
                <w:szCs w:val="21"/>
              </w:rPr>
              <w:t>信息完整</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left"/>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刀片、</w:t>
            </w:r>
            <w:proofErr w:type="gramStart"/>
            <w:r>
              <w:rPr>
                <w:kern w:val="0"/>
                <w:szCs w:val="21"/>
              </w:rPr>
              <w:t>移液枪</w:t>
            </w:r>
            <w:proofErr w:type="gramEnd"/>
            <w:r>
              <w:rPr>
                <w:kern w:val="0"/>
                <w:szCs w:val="21"/>
              </w:rPr>
              <w:t>头等尖锐物应</w:t>
            </w:r>
            <w:proofErr w:type="gramStart"/>
            <w:r>
              <w:rPr>
                <w:kern w:val="0"/>
                <w:szCs w:val="21"/>
              </w:rPr>
              <w:t>使用耐扎的</w:t>
            </w:r>
            <w:proofErr w:type="gramEnd"/>
            <w:r>
              <w:rPr>
                <w:kern w:val="0"/>
                <w:szCs w:val="21"/>
              </w:rPr>
              <w:t>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proofErr w:type="gramStart"/>
            <w:r>
              <w:rPr>
                <w:kern w:val="0"/>
                <w:szCs w:val="21"/>
              </w:rPr>
              <w:t>送储</w:t>
            </w:r>
            <w:r>
              <w:rPr>
                <w:rFonts w:hint="eastAsia"/>
                <w:kern w:val="0"/>
                <w:szCs w:val="21"/>
              </w:rPr>
              <w:t>时</w:t>
            </w:r>
            <w:proofErr w:type="gramEnd"/>
            <w:r>
              <w:rPr>
                <w:rFonts w:hint="eastAsia"/>
                <w:kern w:val="0"/>
                <w:szCs w:val="21"/>
              </w:rPr>
              <w:t>再装入黄色</w:t>
            </w:r>
            <w:r>
              <w:rPr>
                <w:kern w:val="0"/>
                <w:szCs w:val="21"/>
              </w:rPr>
              <w:t>塑料袋</w:t>
            </w:r>
            <w:r>
              <w:rPr>
                <w:rFonts w:hint="eastAsia"/>
                <w:kern w:val="0"/>
                <w:szCs w:val="21"/>
              </w:rPr>
              <w:t>，</w:t>
            </w:r>
            <w:r>
              <w:rPr>
                <w:kern w:val="0"/>
                <w:szCs w:val="21"/>
              </w:rPr>
              <w:t>贴好标签</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涉及病原微生物的实验废弃物必须进行</w:t>
            </w:r>
            <w:r>
              <w:rPr>
                <w:rFonts w:hint="eastAsia"/>
                <w:kern w:val="0"/>
                <w:szCs w:val="21"/>
              </w:rPr>
              <w:t>高温</w:t>
            </w:r>
            <w:r>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辐射安全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实验室资质与人员要求</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proofErr w:type="gramStart"/>
            <w:r>
              <w:rPr>
                <w:rFonts w:hint="eastAsia"/>
                <w:szCs w:val="21"/>
              </w:rPr>
              <w:t>涉源</w:t>
            </w:r>
            <w:r>
              <w:rPr>
                <w:bCs/>
                <w:kern w:val="0"/>
                <w:szCs w:val="21"/>
              </w:rPr>
              <w:t>学校</w:t>
            </w:r>
            <w:proofErr w:type="gramEnd"/>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r>
              <w:rPr>
                <w:kern w:val="0"/>
                <w:szCs w:val="21"/>
              </w:rPr>
              <w:t>，并按规定在放射性核素种类和用量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10.1.2</w:t>
            </w:r>
          </w:p>
        </w:tc>
        <w:tc>
          <w:tcPr>
            <w:tcW w:w="581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w:t>
            </w:r>
            <w:r>
              <w:rPr>
                <w:kern w:val="0"/>
                <w:szCs w:val="21"/>
              </w:rPr>
              <w:t>人员</w:t>
            </w:r>
            <w:proofErr w:type="gramEnd"/>
            <w:r>
              <w:rPr>
                <w:kern w:val="0"/>
                <w:szCs w:val="21"/>
              </w:rPr>
              <w:t>经过了专门培训，有《辐射安全与防护培训合格证书》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查看培训证书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w:t>
            </w:r>
            <w:r>
              <w:rPr>
                <w:kern w:val="0"/>
                <w:szCs w:val="21"/>
              </w:rPr>
              <w:t>人员</w:t>
            </w:r>
            <w:proofErr w:type="gramEnd"/>
            <w:r>
              <w:rPr>
                <w:kern w:val="0"/>
                <w:szCs w:val="21"/>
              </w:rPr>
              <w:t>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体检报告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w:t>
            </w:r>
            <w:r>
              <w:rPr>
                <w:kern w:val="0"/>
                <w:szCs w:val="21"/>
              </w:rPr>
              <w:t>人员</w:t>
            </w:r>
            <w:proofErr w:type="gramEnd"/>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w:t>
            </w:r>
            <w:r>
              <w:rPr>
                <w:kern w:val="0"/>
                <w:szCs w:val="21"/>
              </w:rPr>
              <w:t>实验</w:t>
            </w:r>
            <w:proofErr w:type="gramEnd"/>
            <w:r>
              <w:rPr>
                <w:kern w:val="0"/>
                <w:szCs w:val="21"/>
              </w:rPr>
              <w:t>场所（放射性物质、</w:t>
            </w:r>
            <w:r>
              <w:rPr>
                <w:kern w:val="0"/>
                <w:szCs w:val="21"/>
              </w:rPr>
              <w:t>X</w:t>
            </w:r>
            <w:r>
              <w:rPr>
                <w:kern w:val="0"/>
                <w:szCs w:val="21"/>
              </w:rPr>
              <w:t>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涉源实验</w:t>
            </w:r>
            <w:proofErr w:type="gramEnd"/>
            <w:r>
              <w:rPr>
                <w:szCs w:val="21"/>
              </w:rPr>
              <w:t>场所每年有合格的实验场所检测报告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有准确的台帐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非密封性放射性实验室有衰减池，</w:t>
            </w:r>
            <w:r>
              <w:rPr>
                <w:szCs w:val="21"/>
              </w:rPr>
              <w:t>或者有非密封</w:t>
            </w:r>
            <w:proofErr w:type="gramStart"/>
            <w:r>
              <w:rPr>
                <w:szCs w:val="21"/>
              </w:rPr>
              <w:t>性专门</w:t>
            </w:r>
            <w:proofErr w:type="gramEnd"/>
            <w:r>
              <w:rPr>
                <w:szCs w:val="21"/>
              </w:rPr>
              <w:t>回收处置场所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采购、转让转移与运输</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proofErr w:type="gramStart"/>
            <w:r>
              <w:rPr>
                <w:rFonts w:hint="eastAsia"/>
                <w:bCs/>
                <w:kern w:val="0"/>
                <w:szCs w:val="21"/>
              </w:rPr>
              <w:t>查看</w:t>
            </w:r>
            <w:r>
              <w:rPr>
                <w:bCs/>
                <w:kern w:val="0"/>
                <w:szCs w:val="21"/>
              </w:rPr>
              <w:t>台</w:t>
            </w:r>
            <w:proofErr w:type="gramEnd"/>
            <w:r>
              <w:rPr>
                <w:bCs/>
                <w:kern w:val="0"/>
                <w:szCs w:val="21"/>
              </w:rPr>
              <w:t>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放射性实验安全操作</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Г</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5</w:t>
            </w:r>
            <w:r>
              <w:rPr>
                <w:rFonts w:hint="eastAsia"/>
                <w:kern w:val="0"/>
                <w:szCs w:val="21"/>
              </w:rPr>
              <w:t>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存档资料</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中、长半衰期</w:t>
            </w:r>
            <w:proofErr w:type="gramStart"/>
            <w:r>
              <w:rPr>
                <w:kern w:val="0"/>
                <w:szCs w:val="21"/>
              </w:rPr>
              <w:t>核素固液废弃物</w:t>
            </w:r>
            <w:proofErr w:type="gramEnd"/>
            <w:r>
              <w:rPr>
                <w:kern w:val="0"/>
                <w:szCs w:val="21"/>
              </w:rPr>
              <w:t>有符合国家相关规定的处置方案或回收协议，并有处置记录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短半衰期</w:t>
            </w:r>
            <w:proofErr w:type="gramStart"/>
            <w:r>
              <w:rPr>
                <w:kern w:val="0"/>
                <w:szCs w:val="21"/>
              </w:rPr>
              <w:t>核素固液废弃物</w:t>
            </w:r>
            <w:proofErr w:type="gramEnd"/>
            <w:r>
              <w:rPr>
                <w:kern w:val="0"/>
                <w:szCs w:val="21"/>
              </w:rPr>
              <w:t>放置</w:t>
            </w:r>
            <w:r>
              <w:rPr>
                <w:kern w:val="0"/>
                <w:szCs w:val="21"/>
              </w:rPr>
              <w:t>10</w:t>
            </w:r>
            <w:r>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kern w:val="0"/>
                <w:szCs w:val="21"/>
              </w:rPr>
              <w:t>涉源</w:t>
            </w:r>
            <w:r>
              <w:rPr>
                <w:kern w:val="0"/>
                <w:szCs w:val="21"/>
              </w:rPr>
              <w:t>实验</w:t>
            </w:r>
            <w:proofErr w:type="gramEnd"/>
            <w:r>
              <w:rPr>
                <w:kern w:val="0"/>
                <w:szCs w:val="21"/>
              </w:rPr>
              <w:t>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机电等</w:t>
            </w:r>
            <w:r>
              <w:rPr>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仪器设备</w:t>
            </w:r>
            <w:r>
              <w:rPr>
                <w:b/>
                <w:kern w:val="0"/>
                <w:szCs w:val="21"/>
              </w:rPr>
              <w:t>常规管理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w:t>
            </w:r>
            <w:r>
              <w:rPr>
                <w:kern w:val="0"/>
                <w:szCs w:val="21"/>
              </w:rPr>
              <w:t>.1.1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查看电子或纸质台帐</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查看电源配电箱、地线</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3</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仪器设备接地系统应按规范要求，采用铜质材料，且设计寿命不应低于</w:t>
            </w:r>
            <w:r>
              <w:rPr>
                <w:rFonts w:hint="eastAsia"/>
                <w:szCs w:val="21"/>
              </w:rPr>
              <w:t>50</w:t>
            </w:r>
            <w:r>
              <w:rPr>
                <w:rFonts w:hint="eastAsia"/>
                <w:szCs w:val="21"/>
              </w:rPr>
              <w:t>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szCs w:val="21"/>
              </w:rPr>
              <w:t>接地电阻不高于</w:t>
            </w:r>
            <w:r>
              <w:rPr>
                <w:rFonts w:hint="eastAsia"/>
                <w:szCs w:val="21"/>
              </w:rPr>
              <w:t>0.5</w:t>
            </w:r>
            <w:r>
              <w:rPr>
                <w:rFonts w:hint="eastAsia"/>
                <w:szCs w:val="21"/>
              </w:rPr>
              <w:t>欧</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查看记录及维修、维护周期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有手册或规范明示牌</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昼夜工作的设备要有实时监控设施</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检查是否有安全空间</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检查避光、遮光</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w:t>
            </w:r>
            <w:proofErr w:type="gramStart"/>
            <w:r>
              <w:rPr>
                <w:kern w:val="0"/>
                <w:szCs w:val="21"/>
              </w:rPr>
              <w:t>研</w:t>
            </w:r>
            <w:proofErr w:type="gramEnd"/>
            <w:r>
              <w:rPr>
                <w:kern w:val="0"/>
                <w:szCs w:val="21"/>
              </w:rPr>
              <w:t>自制设备时，须充分考虑安全系数，并有安全防护措施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w:t>
            </w:r>
            <w:proofErr w:type="gramStart"/>
            <w:r>
              <w:rPr>
                <w:rFonts w:hint="eastAsia"/>
                <w:kern w:val="0"/>
                <w:szCs w:val="21"/>
              </w:rPr>
              <w:t>场所禁戴手套</w:t>
            </w:r>
            <w:proofErr w:type="gramEnd"/>
            <w:r>
              <w:rPr>
                <w:rFonts w:hint="eastAsia"/>
                <w:kern w:val="0"/>
                <w:szCs w:val="21"/>
              </w:rPr>
              <w:t>、</w:t>
            </w:r>
            <w:r>
              <w:rPr>
                <w:kern w:val="0"/>
                <w:szCs w:val="21"/>
              </w:rPr>
              <w:t>长围巾、领带</w:t>
            </w:r>
            <w:r>
              <w:rPr>
                <w:rFonts w:hint="eastAsia"/>
                <w:kern w:val="0"/>
                <w:szCs w:val="21"/>
              </w:rPr>
              <w:t>、</w:t>
            </w:r>
            <w:r>
              <w:rPr>
                <w:kern w:val="0"/>
                <w:szCs w:val="21"/>
              </w:rPr>
              <w:t>手镯</w:t>
            </w:r>
            <w:r>
              <w:rPr>
                <w:rFonts w:hint="eastAsia"/>
                <w:kern w:val="0"/>
                <w:szCs w:val="21"/>
              </w:rPr>
              <w:t>等配饰物，</w:t>
            </w:r>
            <w:proofErr w:type="gramStart"/>
            <w:r>
              <w:rPr>
                <w:rFonts w:hint="eastAsia"/>
                <w:kern w:val="0"/>
                <w:szCs w:val="21"/>
              </w:rPr>
              <w:t>禁穿拖鞋</w:t>
            </w:r>
            <w:proofErr w:type="gramEnd"/>
            <w:r>
              <w:rPr>
                <w:rFonts w:hint="eastAsia"/>
                <w:kern w:val="0"/>
                <w:szCs w:val="21"/>
              </w:rPr>
              <w:t>、高跟鞋等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检查操作提示、防护配置；有人操作时检查执行情况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宋体" w:hAnsi="宋体" w:cs="宋体"/>
                <w:kern w:val="0"/>
                <w:szCs w:val="21"/>
              </w:rPr>
            </w:pPr>
            <w:r>
              <w:rPr>
                <w:rFonts w:hint="eastAsia"/>
                <w:kern w:val="0"/>
                <w:szCs w:val="21"/>
              </w:rPr>
              <w:t>机床应保持清洁整齐；严禁在床头、床面、刀架上</w:t>
            </w:r>
            <w:proofErr w:type="gramStart"/>
            <w:r>
              <w:rPr>
                <w:rFonts w:hint="eastAsia"/>
                <w:kern w:val="0"/>
                <w:szCs w:val="21"/>
              </w:rPr>
              <w:t>放一切</w:t>
            </w:r>
            <w:proofErr w:type="gramEnd"/>
            <w:r>
              <w:rPr>
                <w:rFonts w:hint="eastAsia"/>
                <w:kern w:val="0"/>
                <w:szCs w:val="21"/>
              </w:rPr>
              <w:t>物件</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检查机床整洁</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设备在运转时，严禁用手调整；禁止操作人员的身体任</w:t>
            </w:r>
            <w:proofErr w:type="gramStart"/>
            <w:r>
              <w:rPr>
                <w:rFonts w:hint="eastAsia"/>
                <w:kern w:val="0"/>
                <w:szCs w:val="21"/>
              </w:rPr>
              <w:t>一</w:t>
            </w:r>
            <w:proofErr w:type="gramEnd"/>
            <w:r>
              <w:rPr>
                <w:rFonts w:hint="eastAsia"/>
                <w:kern w:val="0"/>
                <w:szCs w:val="21"/>
              </w:rPr>
              <w:t>部位进入危险区，如需调整应首先关停机械设备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检查区域标示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检查接地，用电笔检查设备静电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锻压设备</w:t>
            </w:r>
            <w:proofErr w:type="gramStart"/>
            <w:r>
              <w:rPr>
                <w:rFonts w:hint="eastAsia"/>
                <w:kern w:val="0"/>
                <w:szCs w:val="21"/>
              </w:rPr>
              <w:t>不</w:t>
            </w:r>
            <w:proofErr w:type="gramEnd"/>
            <w:r>
              <w:rPr>
                <w:rFonts w:hint="eastAsia"/>
                <w:kern w:val="0"/>
                <w:szCs w:val="21"/>
              </w:rPr>
              <w:t>得空打或大力敲打过薄锻件，锻造时锻件应达到</w:t>
            </w:r>
            <w:r>
              <w:rPr>
                <w:rFonts w:hint="eastAsia"/>
                <w:kern w:val="0"/>
                <w:szCs w:val="21"/>
              </w:rPr>
              <w:t>850 C</w:t>
            </w:r>
            <w:r>
              <w:rPr>
                <w:rFonts w:hint="eastAsia"/>
                <w:kern w:val="0"/>
                <w:szCs w:val="21"/>
              </w:rPr>
              <w:t>以上，锻锤空置时应垫有木块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铸造实验场地宽敞、通道畅通，实验时穿好劳动保护服装</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检查设备及要求</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检查室内机及设备配电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11.3.3</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检查实验要求、</w:t>
            </w:r>
            <w:r>
              <w:rPr>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安全距离：</w:t>
            </w:r>
            <w:r>
              <w:rPr>
                <w:rFonts w:hint="eastAsia"/>
                <w:kern w:val="0"/>
                <w:szCs w:val="21"/>
              </w:rPr>
              <w:t>10kV</w:t>
            </w:r>
            <w:r>
              <w:rPr>
                <w:rFonts w:hint="eastAsia"/>
                <w:kern w:val="0"/>
                <w:szCs w:val="21"/>
              </w:rPr>
              <w:t>为</w:t>
            </w:r>
            <w:r>
              <w:rPr>
                <w:rFonts w:hint="eastAsia"/>
                <w:kern w:val="0"/>
                <w:szCs w:val="21"/>
              </w:rPr>
              <w:t>0.7m</w:t>
            </w:r>
            <w:r>
              <w:rPr>
                <w:rFonts w:hint="eastAsia"/>
                <w:kern w:val="0"/>
                <w:szCs w:val="21"/>
              </w:rPr>
              <w:t>；</w:t>
            </w:r>
            <w:r>
              <w:rPr>
                <w:rFonts w:hint="eastAsia"/>
                <w:kern w:val="0"/>
                <w:szCs w:val="21"/>
              </w:rPr>
              <w:t>66kV</w:t>
            </w:r>
            <w:r>
              <w:rPr>
                <w:rFonts w:hint="eastAsia"/>
                <w:kern w:val="0"/>
                <w:szCs w:val="21"/>
              </w:rPr>
              <w:t>为</w:t>
            </w:r>
            <w:r>
              <w:rPr>
                <w:rFonts w:hint="eastAsia"/>
                <w:kern w:val="0"/>
                <w:szCs w:val="21"/>
              </w:rPr>
              <w:t>1.5m</w:t>
            </w:r>
            <w:r>
              <w:rPr>
                <w:rFonts w:hint="eastAsia"/>
                <w:kern w:val="0"/>
                <w:szCs w:val="21"/>
              </w:rPr>
              <w:t>；</w:t>
            </w:r>
            <w:r>
              <w:rPr>
                <w:rFonts w:hint="eastAsia"/>
                <w:kern w:val="0"/>
                <w:szCs w:val="21"/>
              </w:rPr>
              <w:t>220kV</w:t>
            </w:r>
            <w:r>
              <w:rPr>
                <w:rFonts w:hint="eastAsia"/>
                <w:kern w:val="0"/>
                <w:szCs w:val="21"/>
              </w:rPr>
              <w:t>为</w:t>
            </w:r>
            <w:r>
              <w:rPr>
                <w:rFonts w:hint="eastAsia"/>
                <w:kern w:val="0"/>
                <w:szCs w:val="21"/>
              </w:rPr>
              <w:t>3m</w:t>
            </w:r>
            <w:r>
              <w:rPr>
                <w:rFonts w:hint="eastAsia"/>
                <w:kern w:val="0"/>
                <w:szCs w:val="21"/>
              </w:rPr>
              <w:t>；</w:t>
            </w:r>
            <w:r>
              <w:rPr>
                <w:rFonts w:hint="eastAsia"/>
                <w:bCs/>
                <w:kern w:val="0"/>
                <w:szCs w:val="21"/>
              </w:rPr>
              <w:t>检查报警系统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11.3.7</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11.3.8</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检查护具及提示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11.3.9</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检查试验要求</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11.3.10</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断电操作</w:t>
            </w:r>
            <w:r>
              <w:rPr>
                <w:szCs w:val="21"/>
              </w:rPr>
              <w:t>时，</w:t>
            </w:r>
            <w:r>
              <w:rPr>
                <w:rFonts w:hint="eastAsia"/>
                <w:szCs w:val="21"/>
              </w:rPr>
              <w:t>在电源箱处有明显警示标识，以防他人随意合闸</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标识牌</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11.3.11</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有激光器的安全使用方法，有激光危害标识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w:t>
            </w:r>
            <w:r>
              <w:rPr>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r>
              <w:rPr>
                <w:bCs/>
                <w:kern w:val="0"/>
                <w:szCs w:val="21"/>
              </w:rPr>
              <w:t>现场询问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粉尘加工要有除尘装置，除尘器符合防静电安全要求，除尘设施应有阻爆、隔爆、</w:t>
            </w:r>
            <w:proofErr w:type="gramStart"/>
            <w:r>
              <w:rPr>
                <w:rFonts w:hint="eastAsia"/>
                <w:kern w:val="0"/>
                <w:szCs w:val="21"/>
              </w:rPr>
              <w:t>泄爆装置</w:t>
            </w:r>
            <w:proofErr w:type="gramEnd"/>
            <w:r>
              <w:rPr>
                <w:rFonts w:hint="eastAsia"/>
                <w:kern w:val="0"/>
                <w:szCs w:val="21"/>
              </w:rPr>
              <w:t>；使用工具具有防爆功能或不产生火花</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产生粉尘实验场所，</w:t>
            </w:r>
            <w:proofErr w:type="gramStart"/>
            <w:r>
              <w:rPr>
                <w:rFonts w:hint="eastAsia"/>
                <w:kern w:val="0"/>
                <w:szCs w:val="21"/>
              </w:rPr>
              <w:t>必须穿防静电</w:t>
            </w:r>
            <w:proofErr w:type="gramEnd"/>
            <w:r>
              <w:rPr>
                <w:rFonts w:hint="eastAsia"/>
                <w:kern w:val="0"/>
                <w:szCs w:val="21"/>
              </w:rPr>
              <w:t>棉质衣服，禁止穿化纤材料制作的衣服，工作时必须佩戴防尘口罩和护耳器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灭火器</w:t>
            </w:r>
            <w:r>
              <w:rPr>
                <w:bCs/>
                <w:kern w:val="0"/>
                <w:szCs w:val="21"/>
              </w:rPr>
              <w:t>在</w:t>
            </w:r>
            <w:r>
              <w:rPr>
                <w:rFonts w:hint="eastAsia"/>
                <w:bCs/>
                <w:kern w:val="0"/>
                <w:szCs w:val="21"/>
              </w:rPr>
              <w:t>有效期内</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规程</w:t>
            </w:r>
            <w:r>
              <w:rPr>
                <w:bCs/>
                <w:kern w:val="0"/>
                <w:szCs w:val="21"/>
              </w:rPr>
              <w:t>上墙、</w:t>
            </w:r>
            <w:r>
              <w:rPr>
                <w:rFonts w:hint="eastAsia"/>
                <w:bCs/>
                <w:kern w:val="0"/>
                <w:szCs w:val="21"/>
              </w:rPr>
              <w:t>检查提示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粮食粉尘爆炸下限为</w:t>
            </w:r>
            <w:r>
              <w:rPr>
                <w:rFonts w:hint="eastAsia"/>
                <w:kern w:val="0"/>
                <w:szCs w:val="21"/>
              </w:rPr>
              <w:t>40--200g/m</w:t>
            </w:r>
            <w:r>
              <w:rPr>
                <w:rFonts w:hint="eastAsia"/>
                <w:kern w:val="0"/>
                <w:szCs w:val="21"/>
                <w:vertAlign w:val="superscript"/>
              </w:rPr>
              <w:t>3</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11.5.8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起重类</w:t>
            </w:r>
            <w:r>
              <w:rPr>
                <w:b/>
                <w:kern w:val="0"/>
                <w:szCs w:val="21"/>
              </w:rPr>
              <w:t>设备</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w:t>
            </w:r>
            <w:r>
              <w:rPr>
                <w:kern w:val="0"/>
                <w:szCs w:val="21"/>
              </w:rPr>
              <w:t>，</w:t>
            </w:r>
            <w:r>
              <w:rPr>
                <w:rFonts w:hint="eastAsia"/>
                <w:kern w:val="0"/>
                <w:szCs w:val="21"/>
              </w:rPr>
              <w:t>须取得《特种设备使用登记证》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低于</w:t>
            </w:r>
            <w:r>
              <w:rPr>
                <w:kern w:val="0"/>
                <w:szCs w:val="21"/>
              </w:rPr>
              <w:t>额度限定值的</w:t>
            </w:r>
            <w:r>
              <w:rPr>
                <w:rFonts w:hint="eastAsia"/>
                <w:kern w:val="0"/>
                <w:szCs w:val="21"/>
              </w:rPr>
              <w:t>可不办理《特种设备使用登记证》</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证书是否在有效期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合格证是否在有效期内</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试验</w:t>
            </w:r>
            <w:r>
              <w:rPr>
                <w:kern w:val="0"/>
                <w:szCs w:val="21"/>
              </w:rPr>
              <w:t>声光报警器</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压力容器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设备铭牌上标明为简单压力容器不需办理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《特种设备作业人员证》是否在有效期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合格证是否在有效期内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原则上</w:t>
            </w:r>
            <w:proofErr w:type="gramStart"/>
            <w:r>
              <w:rPr>
                <w:rFonts w:hint="eastAsia"/>
                <w:kern w:val="0"/>
                <w:szCs w:val="21"/>
              </w:rPr>
              <w:t>不</w:t>
            </w:r>
            <w:proofErr w:type="gramEnd"/>
            <w:r>
              <w:rPr>
                <w:rFonts w:hint="eastAsia"/>
                <w:kern w:val="0"/>
                <w:szCs w:val="21"/>
              </w:rPr>
              <w:t>超期使用。对于已</w:t>
            </w:r>
            <w:proofErr w:type="gramStart"/>
            <w:r>
              <w:rPr>
                <w:rFonts w:hint="eastAsia"/>
                <w:kern w:val="0"/>
                <w:szCs w:val="21"/>
              </w:rPr>
              <w:t>达设计</w:t>
            </w:r>
            <w:proofErr w:type="gramEnd"/>
            <w:r>
              <w:rPr>
                <w:rFonts w:hint="eastAsia"/>
                <w:kern w:val="0"/>
                <w:szCs w:val="21"/>
              </w:rPr>
              <w:t>使用年限，或未规定使用年限但已超过</w:t>
            </w:r>
            <w:r>
              <w:rPr>
                <w:rFonts w:hint="eastAsia"/>
                <w:kern w:val="0"/>
                <w:szCs w:val="21"/>
              </w:rPr>
              <w:t>20</w:t>
            </w:r>
            <w:r>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新的证书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2.7</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大型实验气体（窒息、可燃类）</w:t>
            </w:r>
            <w:proofErr w:type="gramStart"/>
            <w:r>
              <w:rPr>
                <w:rFonts w:hint="eastAsia"/>
                <w:kern w:val="0"/>
                <w:szCs w:val="21"/>
              </w:rPr>
              <w:t>罐必须</w:t>
            </w:r>
            <w:proofErr w:type="gramEnd"/>
            <w:r>
              <w:rPr>
                <w:rFonts w:hint="eastAsia"/>
                <w:kern w:val="0"/>
                <w:szCs w:val="21"/>
              </w:rPr>
              <w:t>放置在室外，周围设置隔离装置、安全警示标识</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有隔离装置，坚固牢靠</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2.8</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可燃性性</w:t>
            </w:r>
            <w:r>
              <w:rPr>
                <w:kern w:val="0"/>
                <w:szCs w:val="21"/>
              </w:rPr>
              <w:t>气罐远离火源热源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2.9</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电气设施是否防爆，避雷装置是否接地</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2.10</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制定大型气体</w:t>
            </w:r>
            <w:proofErr w:type="gramStart"/>
            <w:r>
              <w:rPr>
                <w:rFonts w:hint="eastAsia"/>
                <w:kern w:val="0"/>
                <w:szCs w:val="21"/>
              </w:rPr>
              <w:t>罐管理</w:t>
            </w:r>
            <w:proofErr w:type="gramEnd"/>
            <w:r>
              <w:rPr>
                <w:rFonts w:hint="eastAsia"/>
                <w:kern w:val="0"/>
                <w:szCs w:val="21"/>
              </w:rPr>
              <w:t>制度和操作规程，落实</w:t>
            </w:r>
            <w:r>
              <w:rPr>
                <w:kern w:val="0"/>
                <w:szCs w:val="21"/>
              </w:rPr>
              <w:t>维护、保养及安全责任制</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在明显处张贴操作</w:t>
            </w:r>
            <w:r>
              <w:rPr>
                <w:kern w:val="0"/>
                <w:szCs w:val="21"/>
              </w:rPr>
              <w:t>规程</w:t>
            </w:r>
            <w:r>
              <w:rPr>
                <w:rFonts w:hint="eastAsia"/>
                <w:kern w:val="0"/>
                <w:szCs w:val="21"/>
              </w:rPr>
              <w:t>、</w:t>
            </w:r>
            <w:r>
              <w:rPr>
                <w:kern w:val="0"/>
                <w:szCs w:val="21"/>
              </w:rPr>
              <w:t>责任标牌</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2.11</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实行使用登记制度，及时填写“使用登记表”</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使用登记表内容完整</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2.12</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kern w:val="0"/>
                <w:szCs w:val="21"/>
              </w:rPr>
              <w:t>定期检查</w:t>
            </w:r>
            <w:r>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有检查</w:t>
            </w:r>
            <w:proofErr w:type="gramStart"/>
            <w:r>
              <w:rPr>
                <w:rFonts w:hint="eastAsia"/>
                <w:kern w:val="0"/>
                <w:szCs w:val="21"/>
              </w:rPr>
              <w:t>表记录</w:t>
            </w:r>
            <w:proofErr w:type="gramEnd"/>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场（厂）内专用机动车辆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取得《厂内机动车辆监督检验报告》</w:t>
            </w:r>
          </w:p>
        </w:tc>
        <w:tc>
          <w:tcPr>
            <w:tcW w:w="3260" w:type="dxa"/>
            <w:shd w:val="clear" w:color="auto" w:fill="auto"/>
            <w:tcMar>
              <w:left w:w="45" w:type="dxa"/>
              <w:right w:w="45" w:type="dxa"/>
            </w:tcMar>
            <w:vAlign w:val="center"/>
          </w:tcPr>
          <w:p w:rsidR="00394BF6" w:rsidRDefault="00394BF6">
            <w:pPr>
              <w:widowControl/>
              <w:spacing w:line="300" w:lineRule="exact"/>
              <w:jc w:val="left"/>
              <w:rPr>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证书在有效期内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合格证在有效期内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r>
              <w:rPr>
                <w:rFonts w:hint="eastAsia"/>
                <w:b/>
                <w:kern w:val="0"/>
                <w:szCs w:val="21"/>
              </w:rPr>
              <w:t>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冰箱管理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贮存危险化学品的冰箱为</w:t>
            </w:r>
            <w:proofErr w:type="gramStart"/>
            <w:r>
              <w:rPr>
                <w:kern w:val="0"/>
                <w:szCs w:val="21"/>
              </w:rPr>
              <w:t>防爆冰箱</w:t>
            </w:r>
            <w:proofErr w:type="gramEnd"/>
            <w:r>
              <w:rPr>
                <w:kern w:val="0"/>
                <w:szCs w:val="21"/>
              </w:rPr>
              <w:t>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查看冰箱及</w:t>
            </w:r>
            <w:r>
              <w:rPr>
                <w:kern w:val="0"/>
                <w:szCs w:val="21"/>
              </w:rPr>
              <w:t>清理记录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螺口拧紧，无开口容器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w:t>
            </w:r>
            <w:r>
              <w:rPr>
                <w:kern w:val="0"/>
                <w:szCs w:val="21"/>
              </w:rPr>
              <w:t>10cm</w:t>
            </w:r>
            <w:r>
              <w:rPr>
                <w:rFonts w:hint="eastAsia"/>
                <w:kern w:val="0"/>
                <w:szCs w:val="21"/>
              </w:rPr>
              <w:t>，</w:t>
            </w:r>
            <w:r>
              <w:rPr>
                <w:kern w:val="0"/>
                <w:szCs w:val="21"/>
              </w:rPr>
              <w:t>上部最少</w:t>
            </w:r>
            <w:r>
              <w:rPr>
                <w:kern w:val="0"/>
                <w:szCs w:val="21"/>
              </w:rPr>
              <w:t>30cm</w:t>
            </w:r>
            <w:r>
              <w:rPr>
                <w:kern w:val="0"/>
                <w:szCs w:val="21"/>
              </w:rPr>
              <w:t>的距离</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实验区和办公生活区严格区分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烘箱与电阻炉管理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proofErr w:type="gramStart"/>
            <w:r>
              <w:rPr>
                <w:kern w:val="0"/>
                <w:szCs w:val="21"/>
              </w:rPr>
              <w:t>不</w:t>
            </w:r>
            <w:proofErr w:type="gramEnd"/>
            <w:r>
              <w:rPr>
                <w:rFonts w:hint="eastAsia"/>
                <w:kern w:val="0"/>
                <w:szCs w:val="21"/>
              </w:rPr>
              <w:t>攀高</w:t>
            </w:r>
            <w:r>
              <w:rPr>
                <w:kern w:val="0"/>
                <w:szCs w:val="21"/>
              </w:rPr>
              <w:t>为宜</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张贴有安全操作规程、警示标识</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查看使用记录、</w:t>
            </w:r>
            <w:r>
              <w:rPr>
                <w:kern w:val="0"/>
                <w:szCs w:val="21"/>
              </w:rPr>
              <w:t>在用标识</w:t>
            </w:r>
            <w:r>
              <w:rPr>
                <w:rFonts w:hint="eastAsia"/>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现场、询问师生</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明火电炉与电吹风等管理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许可证</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现场、询问学生</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bl>
    <w:p w:rsidR="00394BF6" w:rsidRDefault="00394BF6">
      <w:pPr>
        <w:adjustRightInd w:val="0"/>
        <w:snapToGrid w:val="0"/>
        <w:spacing w:beforeLines="50" w:before="156"/>
        <w:jc w:val="left"/>
      </w:pPr>
    </w:p>
    <w:sectPr w:rsidR="00394BF6">
      <w:footerReference w:type="default" r:id="rId9"/>
      <w:pgSz w:w="16838" w:h="11906" w:orient="landscape"/>
      <w:pgMar w:top="1247" w:right="1418" w:bottom="1134"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1FC" w:rsidRDefault="00EE41FC">
      <w:r>
        <w:separator/>
      </w:r>
    </w:p>
  </w:endnote>
  <w:endnote w:type="continuationSeparator" w:id="0">
    <w:p w:rsidR="00EE41FC" w:rsidRDefault="00EE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altName w:val="宋体"/>
    <w:charset w:val="86"/>
    <w:family w:val="auto"/>
    <w:pitch w:val="default"/>
    <w:sig w:usb0="00000000" w:usb1="00000000" w:usb2="00000010" w:usb3="00000000" w:csb0="00040000" w:csb1="00000000"/>
  </w:font>
  <w:font w:name="等线">
    <w:altName w:val="Arial Unicode MS"/>
    <w:charset w:val="86"/>
    <w:family w:val="auto"/>
    <w:pitch w:val="variable"/>
    <w:sig w:usb0="00000000" w:usb1="38CF7CFA" w:usb2="00000016" w:usb3="00000000" w:csb0="0004000F" w:csb1="00000000"/>
  </w:font>
  <w:font w:name="ºÚÌå">
    <w:altName w:val="Arial"/>
    <w:charset w:val="00"/>
    <w:family w:val="moder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THU" w:date="2017-05-13T21:17:00Z"/>
  <w:sdt>
    <w:sdtPr>
      <w:id w:val="1132680932"/>
    </w:sdtPr>
    <w:sdtEndPr/>
    <w:sdtContent>
      <w:customXmlInsRangeEnd w:id="1"/>
      <w:p w:rsidR="00394BF6" w:rsidRDefault="00651AD6">
        <w:pPr>
          <w:pStyle w:val="ac"/>
          <w:jc w:val="center"/>
          <w:rPr>
            <w:ins w:id="2" w:author="THU" w:date="2017-05-13T21:17:00Z"/>
          </w:rPr>
        </w:pPr>
        <w:ins w:id="3" w:author="THU" w:date="2017-05-13T21:17:00Z">
          <w:r>
            <w:fldChar w:fldCharType="begin"/>
          </w:r>
          <w:r>
            <w:instrText>PAGE   \* MERGEFORMAT</w:instrText>
          </w:r>
          <w:r>
            <w:fldChar w:fldCharType="separate"/>
          </w:r>
        </w:ins>
        <w:r w:rsidR="00466BED" w:rsidRPr="00466BED">
          <w:rPr>
            <w:noProof/>
            <w:lang w:val="zh-CN"/>
          </w:rPr>
          <w:t>16</w:t>
        </w:r>
        <w:ins w:id="4" w:author="THU" w:date="2017-05-13T21:17:00Z">
          <w:r>
            <w:fldChar w:fldCharType="end"/>
          </w:r>
        </w:ins>
      </w:p>
      <w:customXmlInsRangeStart w:id="5" w:author="THU" w:date="2017-05-13T21:17:00Z"/>
    </w:sdtContent>
  </w:sdt>
  <w:customXmlInsRangeEnd w:id="5"/>
  <w:p w:rsidR="00394BF6" w:rsidRDefault="00394BF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1FC" w:rsidRDefault="00EE41FC">
      <w:r>
        <w:separator/>
      </w:r>
    </w:p>
  </w:footnote>
  <w:footnote w:type="continuationSeparator" w:id="0">
    <w:p w:rsidR="00EE41FC" w:rsidRDefault="00EE41F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U">
    <w15:presenceInfo w15:providerId="None" w15:userId="T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BE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0D"/>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1AD6"/>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23DF"/>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167F"/>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41FC"/>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0CF6"/>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4E9F73FB"/>
    <w:rsid w:val="54E86EE4"/>
    <w:rsid w:val="5CF01AC2"/>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Pr>
      <w:b/>
      <w:bCs/>
    </w:rPr>
  </w:style>
  <w:style w:type="paragraph" w:styleId="a4">
    <w:name w:val="annotation text"/>
    <w:basedOn w:val="a"/>
    <w:link w:val="Char0"/>
    <w:qFormat/>
    <w:pPr>
      <w:spacing w:line="460" w:lineRule="exact"/>
      <w:jc w:val="left"/>
    </w:pPr>
    <w:rPr>
      <w:rFonts w:ascii="Calibri" w:hAnsi="Calibri"/>
      <w:szCs w:val="21"/>
    </w:rPr>
  </w:style>
  <w:style w:type="paragraph" w:styleId="a5">
    <w:name w:val="caption"/>
    <w:basedOn w:val="a"/>
    <w:next w:val="a"/>
    <w:qFormat/>
    <w:pPr>
      <w:spacing w:before="152" w:after="160" w:line="460" w:lineRule="exact"/>
    </w:pPr>
    <w:rPr>
      <w:rFonts w:ascii="Arial" w:eastAsia="黑体" w:hAnsi="Arial"/>
      <w:szCs w:val="20"/>
    </w:rPr>
  </w:style>
  <w:style w:type="paragraph" w:styleId="a6">
    <w:name w:val="Document Map"/>
    <w:basedOn w:val="a"/>
    <w:link w:val="Char1"/>
    <w:semiHidden/>
    <w:qFormat/>
    <w:rPr>
      <w:rFonts w:ascii="宋体"/>
      <w:kern w:val="0"/>
      <w:sz w:val="18"/>
      <w:szCs w:val="18"/>
    </w:rPr>
  </w:style>
  <w:style w:type="paragraph" w:styleId="a7">
    <w:name w:val="Body Text"/>
    <w:basedOn w:val="a"/>
    <w:link w:val="Char2"/>
    <w:qFormat/>
    <w:pPr>
      <w:spacing w:line="380" w:lineRule="exact"/>
    </w:pPr>
    <w:rPr>
      <w:rFonts w:eastAsia="仿宋_GB2312"/>
      <w:sz w:val="28"/>
      <w:szCs w:val="20"/>
    </w:rPr>
  </w:style>
  <w:style w:type="paragraph" w:styleId="a8">
    <w:name w:val="Body Text Indent"/>
    <w:basedOn w:val="a"/>
    <w:link w:val="Char3"/>
    <w:qFormat/>
    <w:pPr>
      <w:spacing w:line="460" w:lineRule="exact"/>
      <w:ind w:firstLine="630"/>
    </w:pPr>
    <w:rPr>
      <w:rFonts w:ascii="仿宋_GB2312" w:eastAsia="仿宋_GB2312"/>
      <w:sz w:val="32"/>
      <w:szCs w:val="20"/>
    </w:rPr>
  </w:style>
  <w:style w:type="paragraph" w:styleId="a9">
    <w:name w:val="Plain Text"/>
    <w:basedOn w:val="a"/>
    <w:link w:val="Char4"/>
    <w:qFormat/>
    <w:pPr>
      <w:spacing w:line="460" w:lineRule="exact"/>
    </w:pPr>
    <w:rPr>
      <w:rFonts w:ascii="宋体" w:hAnsi="Courier New"/>
      <w:szCs w:val="20"/>
    </w:rPr>
  </w:style>
  <w:style w:type="paragraph" w:styleId="aa">
    <w:name w:val="Date"/>
    <w:basedOn w:val="a"/>
    <w:next w:val="a"/>
    <w:link w:val="Char5"/>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b">
    <w:name w:val="Balloon Text"/>
    <w:basedOn w:val="a"/>
    <w:link w:val="Char6"/>
    <w:semiHidden/>
    <w:qFormat/>
    <w:rPr>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e">
    <w:name w:val="Normal (Web)"/>
    <w:basedOn w:val="a"/>
    <w:qFormat/>
    <w:pPr>
      <w:widowControl/>
      <w:spacing w:before="100" w:beforeAutospacing="1" w:after="100" w:afterAutospacing="1" w:line="460" w:lineRule="exact"/>
      <w:jc w:val="left"/>
    </w:pPr>
    <w:rPr>
      <w:rFonts w:ascii="宋体" w:hAnsi="宋体"/>
      <w:kern w:val="0"/>
      <w:sz w:val="24"/>
    </w:rPr>
  </w:style>
  <w:style w:type="character" w:styleId="af">
    <w:name w:val="page number"/>
    <w:qFormat/>
    <w:rPr>
      <w:rFonts w:cs="Times New Roman"/>
    </w:rPr>
  </w:style>
  <w:style w:type="character" w:styleId="af0">
    <w:name w:val="FollowedHyperlink"/>
    <w:qFormat/>
    <w:rPr>
      <w:rFonts w:cs="Times New Roman"/>
      <w:color w:val="800080"/>
      <w:u w:val="single"/>
    </w:rPr>
  </w:style>
  <w:style w:type="character" w:styleId="af1">
    <w:name w:val="Hyperlink"/>
    <w:qFormat/>
    <w:rPr>
      <w:rFonts w:cs="Times New Roman"/>
      <w:color w:val="1B227E"/>
      <w:u w:val="none"/>
    </w:rPr>
  </w:style>
  <w:style w:type="character" w:styleId="af2">
    <w:name w:val="annotation reference"/>
    <w:semiHidden/>
    <w:qFormat/>
    <w:rPr>
      <w:rFonts w:cs="Times New Roman"/>
      <w:sz w:val="21"/>
      <w:szCs w:val="21"/>
    </w:rPr>
  </w:style>
  <w:style w:type="character" w:styleId="af3">
    <w:name w:val="footnote reference"/>
    <w:semiHidden/>
    <w:qFormat/>
    <w:rPr>
      <w:rFonts w:cs="Times New Roman"/>
      <w:vertAlign w:val="superscript"/>
    </w:rPr>
  </w:style>
  <w:style w:type="table" w:styleId="af4">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qFormat/>
    <w:pPr>
      <w:ind w:firstLineChars="200" w:firstLine="420"/>
    </w:pPr>
  </w:style>
  <w:style w:type="character" w:customStyle="1" w:styleId="Char8">
    <w:name w:val="页眉 Char"/>
    <w:link w:val="ad"/>
    <w:qFormat/>
    <w:locked/>
    <w:rPr>
      <w:rFonts w:cs="Times New Roman"/>
      <w:sz w:val="18"/>
      <w:szCs w:val="18"/>
    </w:rPr>
  </w:style>
  <w:style w:type="character" w:customStyle="1" w:styleId="Char7">
    <w:name w:val="页脚 Char"/>
    <w:link w:val="ac"/>
    <w:uiPriority w:val="99"/>
    <w:qFormat/>
    <w:locked/>
    <w:rPr>
      <w:rFonts w:cs="Times New Roman"/>
      <w:sz w:val="18"/>
      <w:szCs w:val="18"/>
    </w:rPr>
  </w:style>
  <w:style w:type="character" w:customStyle="1" w:styleId="Char1">
    <w:name w:val="文档结构图 Char"/>
    <w:link w:val="a6"/>
    <w:qFormat/>
    <w:locked/>
    <w:rPr>
      <w:rFonts w:ascii="宋体" w:cs="Times New Roman"/>
      <w:sz w:val="18"/>
      <w:szCs w:val="18"/>
    </w:rPr>
  </w:style>
  <w:style w:type="character" w:customStyle="1" w:styleId="1Char">
    <w:name w:val="标题 1 Char"/>
    <w:link w:val="1"/>
    <w:qFormat/>
    <w:locked/>
    <w:rPr>
      <w:rFonts w:cs="Times New Roman"/>
      <w:b/>
      <w:bCs/>
      <w:kern w:val="44"/>
      <w:sz w:val="44"/>
      <w:szCs w:val="44"/>
    </w:rPr>
  </w:style>
  <w:style w:type="character" w:customStyle="1" w:styleId="Char6">
    <w:name w:val="批注框文本 Char"/>
    <w:link w:val="ab"/>
    <w:qFormat/>
    <w:locked/>
    <w:rPr>
      <w:rFonts w:cs="Times New Roman"/>
      <w:sz w:val="18"/>
      <w:szCs w:val="18"/>
    </w:rPr>
  </w:style>
  <w:style w:type="character" w:customStyle="1" w:styleId="Char5">
    <w:name w:val="日期 Char"/>
    <w:link w:val="aa"/>
    <w:qFormat/>
    <w:locked/>
    <w:rPr>
      <w:rFonts w:cs="Times New Roman"/>
      <w:sz w:val="24"/>
      <w:szCs w:val="24"/>
    </w:rPr>
  </w:style>
  <w:style w:type="paragraph" w:customStyle="1" w:styleId="11">
    <w:name w:val="修订1"/>
    <w:hidden/>
    <w:qFormat/>
    <w:rPr>
      <w:kern w:val="2"/>
      <w:sz w:val="21"/>
      <w:szCs w:val="24"/>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character" w:customStyle="1" w:styleId="Char3">
    <w:name w:val="正文文本缩进 Char"/>
    <w:link w:val="a8"/>
    <w:qFormat/>
    <w:locked/>
    <w:rPr>
      <w:rFonts w:ascii="仿宋_GB2312" w:eastAsia="仿宋_GB2312" w:cs="Times New Roman"/>
      <w:kern w:val="2"/>
      <w:sz w:val="32"/>
    </w:rPr>
  </w:style>
  <w:style w:type="paragraph" w:customStyle="1" w:styleId="af5">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af6">
    <w:name w:val="主题词"/>
    <w:basedOn w:val="a"/>
    <w:qFormat/>
    <w:pPr>
      <w:adjustRightInd w:val="0"/>
      <w:spacing w:line="440" w:lineRule="atLeast"/>
      <w:jc w:val="left"/>
      <w:textAlignment w:val="bottom"/>
    </w:pPr>
    <w:rPr>
      <w:rFonts w:eastAsia="黑体"/>
      <w:kern w:val="0"/>
      <w:sz w:val="28"/>
      <w:szCs w:val="20"/>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character" w:customStyle="1" w:styleId="2Char0">
    <w:name w:val="正文文本缩进 2 Char"/>
    <w:link w:val="20"/>
    <w:qFormat/>
    <w:locked/>
    <w:rPr>
      <w:rFonts w:ascii="仿宋_GB2312" w:eastAsia="仿宋_GB2312" w:cs="Times New Roman"/>
      <w:sz w:val="28"/>
    </w:r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character" w:customStyle="1" w:styleId="Char4">
    <w:name w:val="纯文本 Char"/>
    <w:link w:val="a9"/>
    <w:qFormat/>
    <w:locked/>
    <w:rPr>
      <w:rFonts w:ascii="宋体" w:hAnsi="Courier New" w:cs="Times New Roman"/>
      <w:kern w:val="2"/>
      <w:sz w:val="21"/>
    </w:rPr>
  </w:style>
  <w:style w:type="character" w:customStyle="1" w:styleId="Char2">
    <w:name w:val="正文文本 Char"/>
    <w:link w:val="a7"/>
    <w:qFormat/>
    <w:locked/>
    <w:rPr>
      <w:rFonts w:eastAsia="仿宋_GB2312" w:cs="Times New Roman"/>
      <w:kern w:val="2"/>
      <w:sz w:val="28"/>
    </w:rPr>
  </w:style>
  <w:style w:type="character" w:customStyle="1" w:styleId="unnamed2">
    <w:name w:val="unnamed2"/>
    <w:qFormat/>
    <w:rPr>
      <w:rFonts w:cs="Times New Roman"/>
    </w:rPr>
  </w:style>
  <w:style w:type="character" w:customStyle="1" w:styleId="high-light-bg4">
    <w:name w:val="high-light-bg4"/>
    <w:qFormat/>
    <w:rPr>
      <w:rFonts w:cs="Times New Roman"/>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Pr>
      <w:rFonts w:cs="Times New Roman"/>
    </w:rPr>
  </w:style>
  <w:style w:type="character" w:customStyle="1" w:styleId="Char0">
    <w:name w:val="批注文字 Char"/>
    <w:link w:val="a4"/>
    <w:qFormat/>
    <w:locked/>
    <w:rPr>
      <w:rFonts w:ascii="Calibri" w:hAnsi="Calibri" w:cs="Calibri"/>
      <w:kern w:val="2"/>
      <w:sz w:val="21"/>
      <w:szCs w:val="21"/>
    </w:rPr>
  </w:style>
  <w:style w:type="character" w:customStyle="1" w:styleId="Char">
    <w:name w:val="批注主题 Char"/>
    <w:link w:val="a3"/>
    <w:semiHidden/>
    <w:qFormat/>
    <w:locked/>
    <w:rPr>
      <w:rFonts w:ascii="Calibri" w:hAnsi="Calibri" w:cs="Calibri"/>
      <w:b/>
      <w:bCs/>
      <w:kern w:val="2"/>
      <w:sz w:val="21"/>
      <w:szCs w:val="21"/>
    </w:rPr>
  </w:style>
  <w:style w:type="paragraph" w:customStyle="1" w:styleId="21">
    <w:name w:val="修订2"/>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Pr>
      <w:b/>
      <w:bCs/>
    </w:rPr>
  </w:style>
  <w:style w:type="paragraph" w:styleId="a4">
    <w:name w:val="annotation text"/>
    <w:basedOn w:val="a"/>
    <w:link w:val="Char0"/>
    <w:qFormat/>
    <w:pPr>
      <w:spacing w:line="460" w:lineRule="exact"/>
      <w:jc w:val="left"/>
    </w:pPr>
    <w:rPr>
      <w:rFonts w:ascii="Calibri" w:hAnsi="Calibri"/>
      <w:szCs w:val="21"/>
    </w:rPr>
  </w:style>
  <w:style w:type="paragraph" w:styleId="a5">
    <w:name w:val="caption"/>
    <w:basedOn w:val="a"/>
    <w:next w:val="a"/>
    <w:qFormat/>
    <w:pPr>
      <w:spacing w:before="152" w:after="160" w:line="460" w:lineRule="exact"/>
    </w:pPr>
    <w:rPr>
      <w:rFonts w:ascii="Arial" w:eastAsia="黑体" w:hAnsi="Arial"/>
      <w:szCs w:val="20"/>
    </w:rPr>
  </w:style>
  <w:style w:type="paragraph" w:styleId="a6">
    <w:name w:val="Document Map"/>
    <w:basedOn w:val="a"/>
    <w:link w:val="Char1"/>
    <w:semiHidden/>
    <w:qFormat/>
    <w:rPr>
      <w:rFonts w:ascii="宋体"/>
      <w:kern w:val="0"/>
      <w:sz w:val="18"/>
      <w:szCs w:val="18"/>
    </w:rPr>
  </w:style>
  <w:style w:type="paragraph" w:styleId="a7">
    <w:name w:val="Body Text"/>
    <w:basedOn w:val="a"/>
    <w:link w:val="Char2"/>
    <w:qFormat/>
    <w:pPr>
      <w:spacing w:line="380" w:lineRule="exact"/>
    </w:pPr>
    <w:rPr>
      <w:rFonts w:eastAsia="仿宋_GB2312"/>
      <w:sz w:val="28"/>
      <w:szCs w:val="20"/>
    </w:rPr>
  </w:style>
  <w:style w:type="paragraph" w:styleId="a8">
    <w:name w:val="Body Text Indent"/>
    <w:basedOn w:val="a"/>
    <w:link w:val="Char3"/>
    <w:qFormat/>
    <w:pPr>
      <w:spacing w:line="460" w:lineRule="exact"/>
      <w:ind w:firstLine="630"/>
    </w:pPr>
    <w:rPr>
      <w:rFonts w:ascii="仿宋_GB2312" w:eastAsia="仿宋_GB2312"/>
      <w:sz w:val="32"/>
      <w:szCs w:val="20"/>
    </w:rPr>
  </w:style>
  <w:style w:type="paragraph" w:styleId="a9">
    <w:name w:val="Plain Text"/>
    <w:basedOn w:val="a"/>
    <w:link w:val="Char4"/>
    <w:qFormat/>
    <w:pPr>
      <w:spacing w:line="460" w:lineRule="exact"/>
    </w:pPr>
    <w:rPr>
      <w:rFonts w:ascii="宋体" w:hAnsi="Courier New"/>
      <w:szCs w:val="20"/>
    </w:rPr>
  </w:style>
  <w:style w:type="paragraph" w:styleId="aa">
    <w:name w:val="Date"/>
    <w:basedOn w:val="a"/>
    <w:next w:val="a"/>
    <w:link w:val="Char5"/>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b">
    <w:name w:val="Balloon Text"/>
    <w:basedOn w:val="a"/>
    <w:link w:val="Char6"/>
    <w:semiHidden/>
    <w:qFormat/>
    <w:rPr>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e">
    <w:name w:val="Normal (Web)"/>
    <w:basedOn w:val="a"/>
    <w:qFormat/>
    <w:pPr>
      <w:widowControl/>
      <w:spacing w:before="100" w:beforeAutospacing="1" w:after="100" w:afterAutospacing="1" w:line="460" w:lineRule="exact"/>
      <w:jc w:val="left"/>
    </w:pPr>
    <w:rPr>
      <w:rFonts w:ascii="宋体" w:hAnsi="宋体"/>
      <w:kern w:val="0"/>
      <w:sz w:val="24"/>
    </w:rPr>
  </w:style>
  <w:style w:type="character" w:styleId="af">
    <w:name w:val="page number"/>
    <w:qFormat/>
    <w:rPr>
      <w:rFonts w:cs="Times New Roman"/>
    </w:rPr>
  </w:style>
  <w:style w:type="character" w:styleId="af0">
    <w:name w:val="FollowedHyperlink"/>
    <w:qFormat/>
    <w:rPr>
      <w:rFonts w:cs="Times New Roman"/>
      <w:color w:val="800080"/>
      <w:u w:val="single"/>
    </w:rPr>
  </w:style>
  <w:style w:type="character" w:styleId="af1">
    <w:name w:val="Hyperlink"/>
    <w:qFormat/>
    <w:rPr>
      <w:rFonts w:cs="Times New Roman"/>
      <w:color w:val="1B227E"/>
      <w:u w:val="none"/>
    </w:rPr>
  </w:style>
  <w:style w:type="character" w:styleId="af2">
    <w:name w:val="annotation reference"/>
    <w:semiHidden/>
    <w:qFormat/>
    <w:rPr>
      <w:rFonts w:cs="Times New Roman"/>
      <w:sz w:val="21"/>
      <w:szCs w:val="21"/>
    </w:rPr>
  </w:style>
  <w:style w:type="character" w:styleId="af3">
    <w:name w:val="footnote reference"/>
    <w:semiHidden/>
    <w:qFormat/>
    <w:rPr>
      <w:rFonts w:cs="Times New Roman"/>
      <w:vertAlign w:val="superscript"/>
    </w:rPr>
  </w:style>
  <w:style w:type="table" w:styleId="af4">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qFormat/>
    <w:pPr>
      <w:ind w:firstLineChars="200" w:firstLine="420"/>
    </w:pPr>
  </w:style>
  <w:style w:type="character" w:customStyle="1" w:styleId="Char8">
    <w:name w:val="页眉 Char"/>
    <w:link w:val="ad"/>
    <w:qFormat/>
    <w:locked/>
    <w:rPr>
      <w:rFonts w:cs="Times New Roman"/>
      <w:sz w:val="18"/>
      <w:szCs w:val="18"/>
    </w:rPr>
  </w:style>
  <w:style w:type="character" w:customStyle="1" w:styleId="Char7">
    <w:name w:val="页脚 Char"/>
    <w:link w:val="ac"/>
    <w:uiPriority w:val="99"/>
    <w:qFormat/>
    <w:locked/>
    <w:rPr>
      <w:rFonts w:cs="Times New Roman"/>
      <w:sz w:val="18"/>
      <w:szCs w:val="18"/>
    </w:rPr>
  </w:style>
  <w:style w:type="character" w:customStyle="1" w:styleId="Char1">
    <w:name w:val="文档结构图 Char"/>
    <w:link w:val="a6"/>
    <w:qFormat/>
    <w:locked/>
    <w:rPr>
      <w:rFonts w:ascii="宋体" w:cs="Times New Roman"/>
      <w:sz w:val="18"/>
      <w:szCs w:val="18"/>
    </w:rPr>
  </w:style>
  <w:style w:type="character" w:customStyle="1" w:styleId="1Char">
    <w:name w:val="标题 1 Char"/>
    <w:link w:val="1"/>
    <w:qFormat/>
    <w:locked/>
    <w:rPr>
      <w:rFonts w:cs="Times New Roman"/>
      <w:b/>
      <w:bCs/>
      <w:kern w:val="44"/>
      <w:sz w:val="44"/>
      <w:szCs w:val="44"/>
    </w:rPr>
  </w:style>
  <w:style w:type="character" w:customStyle="1" w:styleId="Char6">
    <w:name w:val="批注框文本 Char"/>
    <w:link w:val="ab"/>
    <w:qFormat/>
    <w:locked/>
    <w:rPr>
      <w:rFonts w:cs="Times New Roman"/>
      <w:sz w:val="18"/>
      <w:szCs w:val="18"/>
    </w:rPr>
  </w:style>
  <w:style w:type="character" w:customStyle="1" w:styleId="Char5">
    <w:name w:val="日期 Char"/>
    <w:link w:val="aa"/>
    <w:qFormat/>
    <w:locked/>
    <w:rPr>
      <w:rFonts w:cs="Times New Roman"/>
      <w:sz w:val="24"/>
      <w:szCs w:val="24"/>
    </w:rPr>
  </w:style>
  <w:style w:type="paragraph" w:customStyle="1" w:styleId="11">
    <w:name w:val="修订1"/>
    <w:hidden/>
    <w:qFormat/>
    <w:rPr>
      <w:kern w:val="2"/>
      <w:sz w:val="21"/>
      <w:szCs w:val="24"/>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character" w:customStyle="1" w:styleId="Char3">
    <w:name w:val="正文文本缩进 Char"/>
    <w:link w:val="a8"/>
    <w:qFormat/>
    <w:locked/>
    <w:rPr>
      <w:rFonts w:ascii="仿宋_GB2312" w:eastAsia="仿宋_GB2312" w:cs="Times New Roman"/>
      <w:kern w:val="2"/>
      <w:sz w:val="32"/>
    </w:rPr>
  </w:style>
  <w:style w:type="paragraph" w:customStyle="1" w:styleId="af5">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af6">
    <w:name w:val="主题词"/>
    <w:basedOn w:val="a"/>
    <w:qFormat/>
    <w:pPr>
      <w:adjustRightInd w:val="0"/>
      <w:spacing w:line="440" w:lineRule="atLeast"/>
      <w:jc w:val="left"/>
      <w:textAlignment w:val="bottom"/>
    </w:pPr>
    <w:rPr>
      <w:rFonts w:eastAsia="黑体"/>
      <w:kern w:val="0"/>
      <w:sz w:val="28"/>
      <w:szCs w:val="20"/>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character" w:customStyle="1" w:styleId="2Char0">
    <w:name w:val="正文文本缩进 2 Char"/>
    <w:link w:val="20"/>
    <w:qFormat/>
    <w:locked/>
    <w:rPr>
      <w:rFonts w:ascii="仿宋_GB2312" w:eastAsia="仿宋_GB2312" w:cs="Times New Roman"/>
      <w:sz w:val="28"/>
    </w:r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character" w:customStyle="1" w:styleId="Char4">
    <w:name w:val="纯文本 Char"/>
    <w:link w:val="a9"/>
    <w:qFormat/>
    <w:locked/>
    <w:rPr>
      <w:rFonts w:ascii="宋体" w:hAnsi="Courier New" w:cs="Times New Roman"/>
      <w:kern w:val="2"/>
      <w:sz w:val="21"/>
    </w:rPr>
  </w:style>
  <w:style w:type="character" w:customStyle="1" w:styleId="Char2">
    <w:name w:val="正文文本 Char"/>
    <w:link w:val="a7"/>
    <w:qFormat/>
    <w:locked/>
    <w:rPr>
      <w:rFonts w:eastAsia="仿宋_GB2312" w:cs="Times New Roman"/>
      <w:kern w:val="2"/>
      <w:sz w:val="28"/>
    </w:rPr>
  </w:style>
  <w:style w:type="character" w:customStyle="1" w:styleId="unnamed2">
    <w:name w:val="unnamed2"/>
    <w:qFormat/>
    <w:rPr>
      <w:rFonts w:cs="Times New Roman"/>
    </w:rPr>
  </w:style>
  <w:style w:type="character" w:customStyle="1" w:styleId="high-light-bg4">
    <w:name w:val="high-light-bg4"/>
    <w:qFormat/>
    <w:rPr>
      <w:rFonts w:cs="Times New Roman"/>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Pr>
      <w:rFonts w:cs="Times New Roman"/>
    </w:rPr>
  </w:style>
  <w:style w:type="character" w:customStyle="1" w:styleId="Char0">
    <w:name w:val="批注文字 Char"/>
    <w:link w:val="a4"/>
    <w:qFormat/>
    <w:locked/>
    <w:rPr>
      <w:rFonts w:ascii="Calibri" w:hAnsi="Calibri" w:cs="Calibri"/>
      <w:kern w:val="2"/>
      <w:sz w:val="21"/>
      <w:szCs w:val="21"/>
    </w:rPr>
  </w:style>
  <w:style w:type="character" w:customStyle="1" w:styleId="Char">
    <w:name w:val="批注主题 Char"/>
    <w:link w:val="a3"/>
    <w:semiHidden/>
    <w:qFormat/>
    <w:locked/>
    <w:rPr>
      <w:rFonts w:ascii="Calibri" w:hAnsi="Calibri" w:cs="Calibri"/>
      <w:b/>
      <w:bCs/>
      <w:kern w:val="2"/>
      <w:sz w:val="21"/>
      <w:szCs w:val="21"/>
    </w:rPr>
  </w:style>
  <w:style w:type="paragraph" w:customStyle="1" w:styleId="21">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B8F724-0F35-4EDA-A43C-80E80171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3251</Words>
  <Characters>18534</Characters>
  <Application>Microsoft Office Word</Application>
  <DocSecurity>0</DocSecurity>
  <Lines>154</Lines>
  <Paragraphs>43</Paragraphs>
  <ScaleCrop>false</ScaleCrop>
  <Company>sdu</Company>
  <LinksUpToDate>false</LinksUpToDate>
  <CharactersWithSpaces>21742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彭丽萍</cp:lastModifiedBy>
  <cp:revision>2</cp:revision>
  <cp:lastPrinted>2016-09-26T02:07:00Z</cp:lastPrinted>
  <dcterms:created xsi:type="dcterms:W3CDTF">2017-06-08T09:55:00Z</dcterms:created>
  <dcterms:modified xsi:type="dcterms:W3CDTF">2018-11-15T07:20:00Z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